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1E0" w:firstRow="1" w:lastRow="1" w:firstColumn="1" w:lastColumn="1" w:noHBand="0" w:noVBand="0"/>
      </w:tblPr>
      <w:tblGrid>
        <w:gridCol w:w="4536"/>
        <w:gridCol w:w="4537"/>
      </w:tblGrid>
      <w:tr w:rsidR="003A251A" w:rsidRPr="004F09CD" w14:paraId="107F9B92" w14:textId="77777777" w:rsidTr="008D13A4">
        <w:tc>
          <w:tcPr>
            <w:tcW w:w="2500" w:type="pct"/>
          </w:tcPr>
          <w:p w14:paraId="155E796D" w14:textId="4164CAD4" w:rsidR="00723559" w:rsidRPr="004F09CD" w:rsidRDefault="00784280" w:rsidP="00875F78">
            <w:r w:rsidRPr="004F09CD">
              <w:rPr>
                <w:noProof/>
              </w:rPr>
              <w:drawing>
                <wp:inline distT="0" distB="0" distL="0" distR="0" wp14:anchorId="3DBBA617" wp14:editId="1744B1C7">
                  <wp:extent cx="1799590" cy="1558290"/>
                  <wp:effectExtent l="0" t="0" r="0" b="3810"/>
                  <wp:docPr id="1" name="Picture 1" title="CoRLogo_EL"/>
                  <wp:cNvGraphicFramePr/>
                  <a:graphic xmlns:a="http://schemas.openxmlformats.org/drawingml/2006/main">
                    <a:graphicData uri="http://schemas.openxmlformats.org/drawingml/2006/picture">
                      <pic:pic xmlns:pic="http://schemas.openxmlformats.org/drawingml/2006/picture">
                        <pic:nvPicPr>
                          <pic:cNvPr id="1" name="Picture 1" title="CoRLogo_EL"/>
                          <pic:cNvPicPr/>
                        </pic:nvPicPr>
                        <pic:blipFill>
                          <a:blip r:embed="rId11"/>
                          <a:stretch>
                            <a:fillRect/>
                          </a:stretch>
                        </pic:blipFill>
                        <pic:spPr>
                          <a:xfrm>
                            <a:off x="0" y="0"/>
                            <a:ext cx="1799590" cy="1558290"/>
                          </a:xfrm>
                          <a:prstGeom prst="rect">
                            <a:avLst/>
                          </a:prstGeom>
                        </pic:spPr>
                      </pic:pic>
                    </a:graphicData>
                  </a:graphic>
                </wp:inline>
              </w:drawing>
            </w:r>
          </w:p>
        </w:tc>
        <w:tc>
          <w:tcPr>
            <w:tcW w:w="2500" w:type="pct"/>
          </w:tcPr>
          <w:p w14:paraId="6464F7B4" w14:textId="0B700AF5" w:rsidR="00723559" w:rsidRPr="004F09CD" w:rsidRDefault="00723559" w:rsidP="00875F78"/>
        </w:tc>
      </w:tr>
      <w:tr w:rsidR="003A251A" w:rsidRPr="004F09CD" w14:paraId="67F768BC" w14:textId="77777777" w:rsidTr="008D13A4">
        <w:tblPrEx>
          <w:tblLook w:val="0000" w:firstRow="0" w:lastRow="0" w:firstColumn="0" w:lastColumn="0" w:noHBand="0" w:noVBand="0"/>
        </w:tblPrEx>
        <w:trPr>
          <w:cantSplit/>
        </w:trPr>
        <w:tc>
          <w:tcPr>
            <w:tcW w:w="5000" w:type="pct"/>
            <w:gridSpan w:val="2"/>
          </w:tcPr>
          <w:p w14:paraId="0A7FE817" w14:textId="10475A4F" w:rsidR="00723559" w:rsidRPr="004F09CD" w:rsidRDefault="00723559" w:rsidP="00723559">
            <w:pPr>
              <w:jc w:val="right"/>
              <w:rPr>
                <w:b/>
                <w:bCs/>
                <w:sz w:val="28"/>
              </w:rPr>
            </w:pPr>
            <w:r w:rsidRPr="004F09CD">
              <w:rPr>
                <w:b/>
                <w:sz w:val="28"/>
              </w:rPr>
              <w:t>NAT-VII/044</w:t>
            </w:r>
          </w:p>
        </w:tc>
      </w:tr>
      <w:tr w:rsidR="003A251A" w:rsidRPr="004F09CD" w14:paraId="7366E98B" w14:textId="77777777" w:rsidTr="008D13A4">
        <w:tblPrEx>
          <w:tblLook w:val="0000" w:firstRow="0" w:lastRow="0" w:firstColumn="0" w:lastColumn="0" w:noHBand="0" w:noVBand="0"/>
        </w:tblPrEx>
        <w:tc>
          <w:tcPr>
            <w:tcW w:w="5000" w:type="pct"/>
            <w:gridSpan w:val="2"/>
          </w:tcPr>
          <w:p w14:paraId="1979DED9" w14:textId="5C00AE70" w:rsidR="00723559" w:rsidRPr="004F09CD" w:rsidRDefault="00FF3662" w:rsidP="00875F78">
            <w:pPr>
              <w:jc w:val="center"/>
              <w:rPr>
                <w:b/>
                <w:bCs/>
                <w:sz w:val="28"/>
              </w:rPr>
            </w:pPr>
            <w:r w:rsidRPr="004F09CD">
              <w:rPr>
                <w:b/>
                <w:sz w:val="28"/>
              </w:rPr>
              <w:t xml:space="preserve">164η σύνοδος ολομέλειας – 19 και 20 Φεβρουαρίου 2025 </w:t>
            </w:r>
          </w:p>
        </w:tc>
      </w:tr>
    </w:tbl>
    <w:p w14:paraId="4E1A7AF9" w14:textId="3A5B1DD8" w:rsidR="00723559" w:rsidRPr="004F09CD" w:rsidRDefault="00723559" w:rsidP="00723559"/>
    <w:p w14:paraId="68EC7780" w14:textId="38B57BF1" w:rsidR="00A012A8" w:rsidRPr="004F09CD" w:rsidRDefault="002111B1" w:rsidP="00124EF4">
      <w:r w:rsidRPr="004F09CD">
        <w:rPr>
          <w:noProof/>
        </w:rPr>
        <mc:AlternateContent>
          <mc:Choice Requires="wps">
            <w:drawing>
              <wp:anchor distT="0" distB="0" distL="114300" distR="114300" simplePos="0" relativeHeight="251656704" behindDoc="1" locked="0" layoutInCell="0" allowOverlap="1" wp14:anchorId="38CA567F" wp14:editId="1EA8E36C">
                <wp:simplePos x="0" y="0"/>
                <wp:positionH relativeFrom="page">
                  <wp:posOffset>6769100</wp:posOffset>
                </wp:positionH>
                <wp:positionV relativeFrom="page">
                  <wp:posOffset>10081260</wp:posOffset>
                </wp:positionV>
                <wp:extent cx="647700" cy="3962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A89E6" w14:textId="77777777" w:rsidR="00E62101" w:rsidRPr="004F09CD" w:rsidRDefault="00E62101">
                            <w:pPr>
                              <w:jc w:val="center"/>
                              <w:rPr>
                                <w:rFonts w:ascii="Arial" w:hAnsi="Arial" w:cs="Arial"/>
                                <w:b/>
                                <w:bCs/>
                                <w:sz w:val="48"/>
                              </w:rPr>
                            </w:pPr>
                            <w:r w:rsidRPr="004F09CD">
                              <w:rPr>
                                <w:rFonts w:ascii="Arial" w:hAnsi="Arial"/>
                                <w:b/>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A567F" id="_x0000_t202" coordsize="21600,21600" o:spt="202" path="m,l,21600r21600,l21600,xe">
                <v:stroke joinstyle="miter"/>
                <v:path gradientshapeok="t" o:connecttype="rect"/>
              </v:shapetype>
              <v:shape id="Text Box 3" o:spid="_x0000_s1026" type="#_x0000_t202" style="position:absolute;left:0;text-align:left;margin-left:533pt;margin-top:793.8pt;width:51pt;height:3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" o:allowincell="f" filled="f" stroked="f">
                <v:textbox>
                  <w:txbxContent>
                    <w:p w14:paraId="024A89E6" w14:textId="77777777" w:rsidR="00E62101" w:rsidRPr="004F09CD" w:rsidRDefault="00E62101">
                      <w:pPr>
                        <w:jc w:val="center"/>
                        <w:rPr>
                          <w:rFonts w:ascii="Arial" w:hAnsi="Arial" w:cs="Arial"/>
                          <w:b/>
                          <w:bCs/>
                          <w:sz w:val="48"/>
                        </w:rPr>
                      </w:pPr>
                      <w:r w:rsidRPr="004F09CD">
                        <w:rPr>
                          <w:rFonts w:ascii="Arial" w:hAnsi="Arial"/>
                          <w:b/>
                          <w:sz w:val="48"/>
                        </w:rPr>
                        <w:t>EL</w:t>
                      </w:r>
                    </w:p>
                  </w:txbxContent>
                </v:textbox>
                <w10:wrap anchorx="page" anchory="page"/>
              </v:shape>
            </w:pict>
          </mc:Fallback>
        </mc:AlternateContent>
      </w:r>
    </w:p>
    <w:p w14:paraId="52B1498F" w14:textId="70E259F7" w:rsidR="00A012A8" w:rsidRPr="004F09CD" w:rsidRDefault="00A012A8" w:rsidP="00124EF4"/>
    <w:p w14:paraId="765FC78A" w14:textId="47AEF458" w:rsidR="006C436A" w:rsidRPr="004F09CD" w:rsidRDefault="006C436A" w:rsidP="00124EF4">
      <w:pPr>
        <w:jc w:val="center"/>
        <w:rPr>
          <w:b/>
          <w:bCs/>
          <w:sz w:val="28"/>
        </w:rPr>
      </w:pPr>
      <w:r w:rsidRPr="004F09CD">
        <w:rPr>
          <w:b/>
          <w:sz w:val="28"/>
        </w:rPr>
        <w:t>ΣΧΕΔΙΟ ΓΝΩΜΟΔΟΤΗΣΗΣ</w:t>
      </w:r>
    </w:p>
    <w:p w14:paraId="5376FC1B" w14:textId="61543EE1" w:rsidR="006C436A" w:rsidRPr="004F09CD" w:rsidRDefault="006C436A" w:rsidP="006C436A"/>
    <w:p w14:paraId="16B28522" w14:textId="735C3C88" w:rsidR="006C436A" w:rsidRPr="004F09CD" w:rsidRDefault="006C436A" w:rsidP="00124EF4">
      <w:pPr>
        <w:jc w:val="center"/>
        <w:rPr>
          <w:b/>
          <w:bCs/>
          <w:sz w:val="28"/>
        </w:rPr>
      </w:pPr>
    </w:p>
    <w:p w14:paraId="59AA1D5A" w14:textId="4DD208C8" w:rsidR="006C436A" w:rsidRPr="004F09CD" w:rsidRDefault="006C436A" w:rsidP="006C436A"/>
    <w:p w14:paraId="7DC6988F" w14:textId="5AFFA461" w:rsidR="00266420" w:rsidRPr="004F09CD" w:rsidRDefault="006C02F1" w:rsidP="00124EF4">
      <w:pPr>
        <w:jc w:val="center"/>
        <w:rPr>
          <w:sz w:val="28"/>
          <w:szCs w:val="28"/>
        </w:rPr>
      </w:pPr>
      <w:r w:rsidRPr="004F09CD">
        <w:rPr>
          <w:b/>
          <w:sz w:val="28"/>
        </w:rPr>
        <w:t>Πώς ο προγραμματισμός της LEADER και της ΤΑΠΤΚ μετά το 2027 μπορεί να συμβάλει στην καλύτερη υλοποίηση του μακροπρόθεσμου οράματος για τις αγροτικές περιοχές της ΕΕ;</w:t>
      </w:r>
    </w:p>
    <w:p w14:paraId="46D79D29" w14:textId="45D3F669" w:rsidR="00A012A8" w:rsidRPr="004F09CD" w:rsidRDefault="00A012A8" w:rsidP="00124EF4">
      <w:pPr>
        <w:jc w:val="left"/>
      </w:pPr>
    </w:p>
    <w:p w14:paraId="58B5076F" w14:textId="0159C9EB" w:rsidR="00A012A8" w:rsidRPr="004F09CD" w:rsidRDefault="00A012A8" w:rsidP="00124EF4"/>
    <w:tbl>
      <w:tblPr>
        <w:tblW w:w="5000" w:type="pct"/>
        <w:tblLook w:val="0000" w:firstRow="0" w:lastRow="0" w:firstColumn="0" w:lastColumn="0" w:noHBand="0" w:noVBand="0"/>
      </w:tblPr>
      <w:tblGrid>
        <w:gridCol w:w="9073"/>
      </w:tblGrid>
      <w:tr w:rsidR="003A251A" w:rsidRPr="004F09CD" w14:paraId="542288FC" w14:textId="77777777">
        <w:tc>
          <w:tcPr>
            <w:tcW w:w="5000" w:type="pct"/>
          </w:tcPr>
          <w:p w14:paraId="33EB097D" w14:textId="72F51F66" w:rsidR="00A012A8" w:rsidRPr="004E1398" w:rsidRDefault="00A012A8" w:rsidP="00124EF4">
            <w:pPr>
              <w:jc w:val="center"/>
              <w:rPr>
                <w:lang w:val="en-US"/>
              </w:rPr>
            </w:pPr>
            <w:r w:rsidRPr="004E1398">
              <w:rPr>
                <w:lang w:val="en-US"/>
              </w:rPr>
              <w:t>_____________</w:t>
            </w:r>
          </w:p>
          <w:p w14:paraId="5AD7C3EB" w14:textId="4203E39B" w:rsidR="00A012A8" w:rsidRPr="004E1398" w:rsidRDefault="00A012A8" w:rsidP="00124EF4">
            <w:pPr>
              <w:jc w:val="center"/>
              <w:rPr>
                <w:lang w:val="en-US"/>
              </w:rPr>
            </w:pPr>
          </w:p>
          <w:p w14:paraId="22840177" w14:textId="21B777DF" w:rsidR="00266420" w:rsidRPr="004E1398" w:rsidRDefault="00266420" w:rsidP="00266420">
            <w:pPr>
              <w:jc w:val="center"/>
              <w:rPr>
                <w:lang w:val="en-US"/>
              </w:rPr>
            </w:pPr>
            <w:r w:rsidRPr="004F09CD">
              <w:t>Εισηγητής</w:t>
            </w:r>
            <w:r w:rsidRPr="004E1398">
              <w:rPr>
                <w:lang w:val="en-US"/>
              </w:rPr>
              <w:t xml:space="preserve">: </w:t>
            </w:r>
            <w:r w:rsidRPr="004E1398">
              <w:rPr>
                <w:b/>
                <w:lang w:val="en-US"/>
              </w:rPr>
              <w:t>Thibaut Guignard (FR/PPE)</w:t>
            </w:r>
          </w:p>
          <w:p w14:paraId="3D38E5B5" w14:textId="7AAC8834" w:rsidR="00A012A8" w:rsidRPr="004F09CD" w:rsidRDefault="00117963" w:rsidP="00266420">
            <w:pPr>
              <w:jc w:val="center"/>
              <w:rPr>
                <w:bCs/>
              </w:rPr>
            </w:pPr>
            <w:r w:rsidRPr="004F09CD">
              <w:t xml:space="preserve">δήμαρχος </w:t>
            </w:r>
            <w:proofErr w:type="spellStart"/>
            <w:r w:rsidRPr="004F09CD">
              <w:t>Πλεκ</w:t>
            </w:r>
            <w:proofErr w:type="spellEnd"/>
            <w:r w:rsidRPr="004F09CD">
              <w:t xml:space="preserve"> λ’ </w:t>
            </w:r>
            <w:proofErr w:type="spellStart"/>
            <w:r w:rsidRPr="004F09CD">
              <w:t>Ερμιτάζ</w:t>
            </w:r>
            <w:proofErr w:type="spellEnd"/>
          </w:p>
          <w:p w14:paraId="4AD1226D" w14:textId="77777777" w:rsidR="00A012A8" w:rsidRPr="004F09CD" w:rsidRDefault="00A012A8" w:rsidP="009F31FB">
            <w:pPr>
              <w:jc w:val="center"/>
            </w:pPr>
            <w:r w:rsidRPr="004F09CD">
              <w:t>_____________</w:t>
            </w:r>
          </w:p>
        </w:tc>
      </w:tr>
    </w:tbl>
    <w:p w14:paraId="4BEE2023" w14:textId="1423BD05" w:rsidR="00A012A8" w:rsidRPr="004F09CD" w:rsidRDefault="00A012A8" w:rsidP="00124EF4">
      <w:pPr>
        <w:jc w:val="left"/>
      </w:pPr>
    </w:p>
    <w:p w14:paraId="0953AA79" w14:textId="70A62D18" w:rsidR="00A012A8" w:rsidRPr="004F09CD" w:rsidRDefault="00A012A8" w:rsidP="00124EF4">
      <w:pPr>
        <w:jc w:val="left"/>
      </w:pPr>
    </w:p>
    <w:p w14:paraId="69BF8992" w14:textId="037BAFD2" w:rsidR="00A012A8" w:rsidRPr="004F09CD" w:rsidRDefault="00A012A8" w:rsidP="00124EF4">
      <w:pPr>
        <w:jc w:val="left"/>
      </w:pPr>
    </w:p>
    <w:p w14:paraId="740D86EB" w14:textId="0BC0108F" w:rsidR="00A012A8" w:rsidRPr="004F09CD" w:rsidRDefault="00A012A8" w:rsidP="00124EF4">
      <w:pPr>
        <w:jc w:val="left"/>
      </w:pPr>
    </w:p>
    <w:p w14:paraId="3790F342" w14:textId="24BB65EE" w:rsidR="00A012A8" w:rsidRPr="004F09CD" w:rsidRDefault="00A012A8" w:rsidP="00124EF4">
      <w:pPr>
        <w:jc w:val="left"/>
      </w:pPr>
    </w:p>
    <w:p w14:paraId="4ED0F60E" w14:textId="6B08F98F" w:rsidR="00A012A8" w:rsidRPr="004F09CD" w:rsidRDefault="002C379A" w:rsidP="00124EF4">
      <w:pPr>
        <w:jc w:val="left"/>
      </w:pPr>
      <w:r w:rsidRPr="004F09CD">
        <w:rPr>
          <w:noProof/>
        </w:rPr>
        <w:drawing>
          <wp:anchor distT="0" distB="0" distL="114300" distR="114300" simplePos="0" relativeHeight="251658752" behindDoc="0" locked="0" layoutInCell="1" allowOverlap="1" wp14:anchorId="4B5AD4A2" wp14:editId="7DFC345A">
            <wp:simplePos x="0" y="0"/>
            <wp:positionH relativeFrom="margin">
              <wp:posOffset>-17200</wp:posOffset>
            </wp:positionH>
            <wp:positionV relativeFrom="page">
              <wp:posOffset>10249231</wp:posOffset>
            </wp:positionV>
            <wp:extent cx="5781040" cy="28765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40696"/>
                    <a:stretch/>
                  </pic:blipFill>
                  <pic:spPr bwMode="auto">
                    <a:xfrm>
                      <a:off x="0" y="0"/>
                      <a:ext cx="5781040" cy="287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7C5113" w14:textId="2CE74AE8" w:rsidR="00A012A8" w:rsidRPr="004F09CD" w:rsidRDefault="00A012A8" w:rsidP="00124EF4">
      <w:pPr>
        <w:jc w:val="left"/>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3"/>
      </w:tblGrid>
      <w:tr w:rsidR="006C02F1" w:rsidRPr="004F09CD" w14:paraId="58BB4207" w14:textId="77777777" w:rsidTr="002E1120">
        <w:tc>
          <w:tcPr>
            <w:tcW w:w="5000" w:type="pct"/>
            <w:tcBorders>
              <w:top w:val="single" w:sz="4" w:space="0" w:color="auto"/>
              <w:bottom w:val="single" w:sz="4" w:space="0" w:color="auto"/>
            </w:tcBorders>
          </w:tcPr>
          <w:p w14:paraId="2FC85ACC" w14:textId="77777777" w:rsidR="00556402" w:rsidRPr="004F09CD" w:rsidRDefault="00556402" w:rsidP="00556402">
            <w:pPr>
              <w:rPr>
                <w:b/>
                <w:bCs/>
                <w:u w:val="single"/>
              </w:rPr>
            </w:pPr>
            <w:r w:rsidRPr="004F09CD">
              <w:rPr>
                <w:b/>
                <w:u w:val="single"/>
              </w:rPr>
              <w:t>Προθεσμία κατάθεσης τροπολογιών:</w:t>
            </w:r>
          </w:p>
          <w:p w14:paraId="34501389" w14:textId="77777777" w:rsidR="00556402" w:rsidRPr="004F09CD" w:rsidRDefault="00556402" w:rsidP="00556402"/>
          <w:p w14:paraId="7F0A36EC" w14:textId="120D0E95" w:rsidR="00556402" w:rsidRPr="004F09CD" w:rsidRDefault="00556402" w:rsidP="00556402">
            <w:r w:rsidRPr="004F09CD">
              <w:rPr>
                <w:b/>
              </w:rPr>
              <w:t>4 Φεβρουαρίου και ώρα 15.00</w:t>
            </w:r>
            <w:r w:rsidRPr="004F09CD">
              <w:t xml:space="preserve"> (ώρα Βρυξελλών). Υποβολή μέσω του ηλεκτρονικού εργαλείου για την κατάθεση τροπολογιών (διαθέσιμου στη Δικτυακή πύλη των μελών, στην ιστοσελίδα https://memportal.cor.europa.eu/).</w:t>
            </w:r>
          </w:p>
          <w:p w14:paraId="45E9F8DD" w14:textId="77777777" w:rsidR="00556402" w:rsidRPr="004F09CD" w:rsidRDefault="00556402" w:rsidP="00556402"/>
          <w:p w14:paraId="15116E25" w14:textId="498FBC56" w:rsidR="006C02F1" w:rsidRPr="004F09CD" w:rsidRDefault="00556402" w:rsidP="00556402">
            <w:pPr>
              <w:rPr>
                <w:color w:val="000000"/>
              </w:rPr>
            </w:pPr>
            <w:r w:rsidRPr="004F09CD">
              <w:rPr>
                <w:u w:val="single"/>
              </w:rPr>
              <w:t>Αριθμός απαιτούμενων υπογραφών:</w:t>
            </w:r>
            <w:r w:rsidRPr="004F09CD">
              <w:t xml:space="preserve"> 6</w:t>
            </w:r>
          </w:p>
        </w:tc>
      </w:tr>
    </w:tbl>
    <w:p w14:paraId="6EA33A73" w14:textId="718A8B25" w:rsidR="00725863" w:rsidRPr="004F09CD" w:rsidRDefault="00725863">
      <w:pPr>
        <w:overflowPunct/>
        <w:autoSpaceDE/>
        <w:autoSpaceDN/>
        <w:adjustRightInd/>
        <w:spacing w:line="240" w:lineRule="auto"/>
        <w:jc w:val="left"/>
        <w:textAlignment w:val="auto"/>
      </w:pPr>
      <w:r w:rsidRPr="004F09CD">
        <w:br w:type="page"/>
      </w:r>
    </w:p>
    <w:tbl>
      <w:tblPr>
        <w:tblW w:w="9289" w:type="dxa"/>
        <w:tblLayout w:type="fixed"/>
        <w:tblLook w:val="01E0" w:firstRow="1" w:lastRow="1" w:firstColumn="1" w:lastColumn="1" w:noHBand="0" w:noVBand="0"/>
      </w:tblPr>
      <w:tblGrid>
        <w:gridCol w:w="9289"/>
      </w:tblGrid>
      <w:tr w:rsidR="003A251A" w:rsidRPr="004F09CD" w14:paraId="5C1CF8D6" w14:textId="77777777">
        <w:trPr>
          <w:trHeight w:val="12474"/>
        </w:trPr>
        <w:tc>
          <w:tcPr>
            <w:tcW w:w="9289" w:type="dxa"/>
            <w:vAlign w:val="bottom"/>
          </w:tcPr>
          <w:p w14:paraId="7001FFB2" w14:textId="77777777" w:rsidR="00A012A8" w:rsidRPr="004F09CD" w:rsidRDefault="00A012A8" w:rsidP="00124EF4">
            <w:pPr>
              <w:rPr>
                <w:u w:val="single"/>
              </w:rPr>
            </w:pPr>
            <w:r w:rsidRPr="004F09CD">
              <w:rPr>
                <w:u w:val="single"/>
              </w:rPr>
              <w:lastRenderedPageBreak/>
              <w:t>Έγγραφο αναφοράς</w:t>
            </w:r>
          </w:p>
          <w:p w14:paraId="17BB4DB2" w14:textId="77777777" w:rsidR="00010E63" w:rsidRPr="004F09CD" w:rsidRDefault="00010E63" w:rsidP="00124EF4">
            <w:pPr>
              <w:rPr>
                <w:u w:val="single"/>
              </w:rPr>
            </w:pPr>
          </w:p>
          <w:p w14:paraId="07A06D39" w14:textId="77777777" w:rsidR="00A012A8" w:rsidRPr="004F09CD" w:rsidRDefault="00A012A8" w:rsidP="00813F4D">
            <w:pPr>
              <w:spacing w:line="240" w:lineRule="auto"/>
            </w:pPr>
          </w:p>
          <w:p w14:paraId="308AE918" w14:textId="77777777" w:rsidR="00A012A8" w:rsidRPr="004F09CD" w:rsidRDefault="00A012A8" w:rsidP="00124EF4"/>
        </w:tc>
      </w:tr>
    </w:tbl>
    <w:p w14:paraId="5E830FA5" w14:textId="77777777" w:rsidR="00A012A8" w:rsidRPr="004F09CD" w:rsidRDefault="00A012A8" w:rsidP="00124EF4"/>
    <w:p w14:paraId="64FC07FA" w14:textId="4C02D441" w:rsidR="00A012A8" w:rsidRPr="004F09CD" w:rsidRDefault="00A012A8" w:rsidP="00124EF4">
      <w:pPr>
        <w:jc w:val="center"/>
        <w:rPr>
          <w:b/>
        </w:rPr>
      </w:pPr>
      <w:r w:rsidRPr="004F09CD">
        <w:br w:type="page"/>
      </w:r>
      <w:r w:rsidRPr="004F09CD">
        <w:rPr>
          <w:b/>
        </w:rPr>
        <w:lastRenderedPageBreak/>
        <w:t>Σχέδιο γνωμοδότησης της επιτροπής «Φυσικοί πόροι» –</w:t>
      </w:r>
      <w:r w:rsidRPr="004F09CD">
        <w:rPr>
          <w:b/>
        </w:rPr>
        <w:br/>
        <w:t>«Πώς ο προγραμματισμός της LEADER και της ΤΑΠΤΚ μετά το 2027 μπορεί να συμβάλει στην καλύτερη υλοποίηση του μακροπρόθεσμου οράματος για τις αγροτικές περιοχές της ΕΕ»</w:t>
      </w:r>
    </w:p>
    <w:p w14:paraId="723ABB93" w14:textId="77777777" w:rsidR="00211BA6" w:rsidRPr="004F09CD" w:rsidRDefault="00211BA6" w:rsidP="00124EF4">
      <w:pPr>
        <w:jc w:val="center"/>
        <w:rPr>
          <w:b/>
        </w:rPr>
      </w:pPr>
    </w:p>
    <w:p w14:paraId="1BA4C47E" w14:textId="77777777" w:rsidR="00BB2D35" w:rsidRPr="004F09CD" w:rsidRDefault="00BB2D35" w:rsidP="00BB2D35">
      <w:pPr>
        <w:keepNext/>
        <w:numPr>
          <w:ilvl w:val="0"/>
          <w:numId w:val="16"/>
        </w:numPr>
        <w:ind w:left="567" w:hanging="567"/>
        <w:rPr>
          <w:b/>
          <w:bCs/>
        </w:rPr>
      </w:pPr>
      <w:r w:rsidRPr="004F09CD">
        <w:rPr>
          <w:b/>
        </w:rPr>
        <w:t>ΣΥΣΤΑΣΕΙΣ ΠΟΛΙΤΙΚΗΣ</w:t>
      </w:r>
    </w:p>
    <w:p w14:paraId="1B12E81F" w14:textId="77777777" w:rsidR="00BB2D35" w:rsidRPr="004F09CD" w:rsidRDefault="00BB2D35" w:rsidP="00BB2D35">
      <w:pPr>
        <w:keepNext/>
      </w:pPr>
    </w:p>
    <w:p w14:paraId="3778B3A5" w14:textId="710AE832" w:rsidR="00211BA6" w:rsidRPr="004F09CD" w:rsidRDefault="00BB2D35" w:rsidP="008019B3">
      <w:pPr>
        <w:spacing w:line="281" w:lineRule="auto"/>
        <w:rPr>
          <w:b/>
          <w:bCs/>
          <w:u w:val="single"/>
        </w:rPr>
      </w:pPr>
      <w:r w:rsidRPr="004F09CD">
        <w:t>Η ΕΥΡΩΠΑΪΚΗ ΕΠΙΤΡΟΠΗ ΤΩΝ ΠΕΡΙΦΕΡΕΙΩΝ (</w:t>
      </w:r>
      <w:proofErr w:type="spellStart"/>
      <w:r w:rsidRPr="004F09CD">
        <w:t>ΕτΠ</w:t>
      </w:r>
      <w:proofErr w:type="spellEnd"/>
      <w:r w:rsidRPr="004F09CD">
        <w:t>)</w:t>
      </w:r>
    </w:p>
    <w:p w14:paraId="419A6752" w14:textId="77777777" w:rsidR="00211BA6" w:rsidRPr="004F09CD" w:rsidRDefault="00211BA6" w:rsidP="00DA6150">
      <w:pPr>
        <w:rPr>
          <w:bCs/>
        </w:rPr>
      </w:pPr>
    </w:p>
    <w:p w14:paraId="0A7A5D1F" w14:textId="0C6C6318" w:rsidR="00211BA6" w:rsidRPr="004F09CD" w:rsidRDefault="00BB2D35" w:rsidP="008019B3">
      <w:pPr>
        <w:pStyle w:val="1"/>
        <w:numPr>
          <w:ilvl w:val="0"/>
          <w:numId w:val="0"/>
        </w:numPr>
        <w:rPr>
          <w:b/>
          <w:bCs/>
        </w:rPr>
      </w:pPr>
      <w:r w:rsidRPr="004F09CD">
        <w:rPr>
          <w:b/>
          <w:i/>
        </w:rPr>
        <w:t>Γενικές παρατηρήσεις</w:t>
      </w:r>
    </w:p>
    <w:p w14:paraId="135322DD" w14:textId="77777777" w:rsidR="00211BA6" w:rsidRPr="004F09CD" w:rsidRDefault="00211BA6" w:rsidP="00211BA6"/>
    <w:p w14:paraId="0DCACFA4" w14:textId="1AAC194F" w:rsidR="00BB2D35" w:rsidRPr="004F09CD" w:rsidRDefault="00BE066A" w:rsidP="00B837F1">
      <w:pPr>
        <w:pStyle w:val="a8"/>
        <w:numPr>
          <w:ilvl w:val="0"/>
          <w:numId w:val="27"/>
        </w:numPr>
        <w:ind w:left="567" w:hanging="567"/>
      </w:pPr>
      <w:r w:rsidRPr="004F09CD">
        <w:t xml:space="preserve">Παρατηρεί ότι, αν και το 80 % του εδάφους της ΕΕ αποτελείται από αγροτικές περιοχές, στους τόπους αυτούς επικρατεί συχνά ολοένα και περισσότερο το αίσθημα της περιθωριοποίησης, σε συνδυασμό με άνοδο του </w:t>
      </w:r>
      <w:proofErr w:type="spellStart"/>
      <w:r w:rsidRPr="004F09CD">
        <w:t>ευρωσκεπτικισμού</w:t>
      </w:r>
      <w:proofErr w:type="spellEnd"/>
      <w:r w:rsidRPr="004F09CD">
        <w:t>.</w:t>
      </w:r>
    </w:p>
    <w:p w14:paraId="44C881F6" w14:textId="77777777" w:rsidR="00BB2D35" w:rsidRPr="004F09CD" w:rsidRDefault="00BB2D35" w:rsidP="00B837F1">
      <w:pPr>
        <w:ind w:left="567" w:hanging="567"/>
      </w:pPr>
    </w:p>
    <w:p w14:paraId="776D3F64" w14:textId="02C954E5" w:rsidR="00211BA6" w:rsidRPr="004F09CD" w:rsidRDefault="00BE066A" w:rsidP="00B837F1">
      <w:pPr>
        <w:pStyle w:val="a8"/>
        <w:numPr>
          <w:ilvl w:val="0"/>
          <w:numId w:val="27"/>
        </w:numPr>
        <w:ind w:left="567" w:hanging="567"/>
      </w:pPr>
      <w:r w:rsidRPr="004F09CD">
        <w:t xml:space="preserve">Σημειώνει ότι από το 1991 στις αγροτικές περιοχές έχει αποδειχθεί ότι η μέθοδος της </w:t>
      </w:r>
      <w:r w:rsidRPr="004F09CD">
        <w:rPr>
          <w:i/>
        </w:rPr>
        <w:t>σύνδεσης μεταξύ έργων ανάπτυξης της αγροτικής οικονομίας</w:t>
      </w:r>
      <w:r w:rsidRPr="004F09CD">
        <w:t xml:space="preserve"> (γνωστή και ως «LEADER») ―της οποίας έπεται η στρατηγική </w:t>
      </w:r>
      <w:r w:rsidRPr="004F09CD">
        <w:rPr>
          <w:i/>
        </w:rPr>
        <w:t>τοπικής ανάπτυξης με πρωτοβουλία κοινοτήτων</w:t>
      </w:r>
      <w:r w:rsidRPr="004F09CD">
        <w:t xml:space="preserve"> (εφεξής «ΤΑΠΤΚ») μέσω ομάδων τοπικής δράσης― μπορεί να κινητοποιεί και να χειραφετεί τους τοπικούς αρμοδίους μέσω καινοτόμων και προσαρμοσμένων στρατηγικών, συμβάλλοντας έτσι στην επίτευξη των ενωσιακών στόχων με τη βοήθεια πρωτοβουλιών που βασίζονται στην τοπική πραγματικότητα των εν λόγω περιοχών.</w:t>
      </w:r>
    </w:p>
    <w:p w14:paraId="3525C7A1" w14:textId="77777777" w:rsidR="00211BA6" w:rsidRPr="004F09CD" w:rsidRDefault="00211BA6" w:rsidP="00B837F1">
      <w:pPr>
        <w:ind w:left="567" w:hanging="567"/>
      </w:pPr>
    </w:p>
    <w:p w14:paraId="4C579678" w14:textId="2395AD70" w:rsidR="00BB2D35" w:rsidRPr="004F09CD" w:rsidRDefault="00BE066A" w:rsidP="00B837F1">
      <w:pPr>
        <w:pStyle w:val="a8"/>
        <w:numPr>
          <w:ilvl w:val="0"/>
          <w:numId w:val="27"/>
        </w:numPr>
        <w:ind w:left="567" w:hanging="567"/>
      </w:pPr>
      <w:r w:rsidRPr="004F09CD">
        <w:t xml:space="preserve">Υπογραμμίζει τη δημοκρατική προστιθέμενη αξία αυτών των τοπικών προσεγγίσεων. Με την ενίσχυση της άμεσης συμμετοχής των τοπικών κοινοτήτων στον καθορισμό της δικής τους ανάπτυξης, η ΤΑΠΤΚ συμβάλλει στην προαγωγή των θεμελιωδών αξιών της ΕΕ, όπως η συμμετοχή των πολιτών στα κοινά και η κοινωνική συνοχή. </w:t>
      </w:r>
      <w:r w:rsidRPr="002E2F11">
        <w:rPr>
          <w:b/>
          <w:bCs/>
        </w:rPr>
        <w:t xml:space="preserve">Η παρουσία ομάδων τοπικής δράσης στις αγροτικές περιοχές αποτελεί πραγματικό παράδειγμα προς μίμηση στην ΕΕ· μάλιστα, μέσω των ομάδων αυτών η πλειονότητα των αρμοδίων της υπαίθρου δημιουργεί δεσμούς με την ΕΕ. Αυτή η διαπίστωση γίνεται και στο «Νέο </w:t>
      </w:r>
      <w:proofErr w:type="spellStart"/>
      <w:r w:rsidRPr="002E2F11">
        <w:rPr>
          <w:b/>
          <w:bCs/>
        </w:rPr>
        <w:t>Eυρωπαϊκό</w:t>
      </w:r>
      <w:proofErr w:type="spellEnd"/>
      <w:r w:rsidRPr="002E2F11">
        <w:rPr>
          <w:b/>
          <w:bCs/>
        </w:rPr>
        <w:t xml:space="preserve"> Μπάουχαους», στο οποίο αναγνωρίζεται επίσης ότι η κοινοτική κλίμακα αποτελεί το σωστό επίπεδο δράσης, καθότι εκεί τα αποτελέσματα μπορούν να εφαρμόζονται άμεσα, να είναι χειροπιαστά και να γίνονται αντιληπτά, και εκεί διάφοροι τομείς πολιτικής μπορούν να συγχωνεύονται σε μια σφαιρική προσέγγιση</w:t>
      </w:r>
      <w:r w:rsidR="002C379A" w:rsidRPr="004F09CD">
        <w:rPr>
          <w:rStyle w:val="a6"/>
        </w:rPr>
        <w:footnoteReference w:id="1"/>
      </w:r>
      <w:r w:rsidRPr="004F09CD">
        <w:t>.</w:t>
      </w:r>
    </w:p>
    <w:p w14:paraId="40A0C6BA" w14:textId="77777777" w:rsidR="00C245D1" w:rsidRPr="004F09CD" w:rsidRDefault="00C245D1" w:rsidP="004F09CD"/>
    <w:p w14:paraId="728D119C" w14:textId="1C0C063F" w:rsidR="00C245D1" w:rsidRPr="004F09CD" w:rsidRDefault="00C245D1" w:rsidP="00B837F1">
      <w:pPr>
        <w:pStyle w:val="a8"/>
        <w:numPr>
          <w:ilvl w:val="0"/>
          <w:numId w:val="27"/>
        </w:numPr>
        <w:ind w:left="567" w:hanging="567"/>
      </w:pPr>
      <w:r w:rsidRPr="004F09CD">
        <w:t>Εκφράζει τη λύπη της τόσο για τη χαμένη ευκαιρία επισημοποίησης του «μακροπρόθεσμου οράματος για τις αγροτικές περιοχές της Ευρωπαϊκής Ένωσης», μέσω Λευκής Βίβλου με παρεχόμενες οργανωτικές αρμοδιότητες, όσο και για την απουσία ευρωπαϊκού αγροτικού θεματολογίου, παρά την αναφορά του στο ψήφισμα του Ευρωπαϊκού Κοινοβουλίου της 3ης Οκτωβρίου 2018. Εκφράζει επίσης τη λύπη της για την καθυστερημένη δημοσίευση της ανακοίνωσης της Ευρωπαϊκής Επιτροπής, η οποία εμπόδισε την πλήρη ενσωμάτωσή της στο ισχύον πλαίσιο προγραμματισμού και σημειώνει με ανησυχία την περιορισμένη έμφαση στις αρχές της ολοκληρωμένης εδαφικής ανάπτυξης και της τοπικής ανάπτυξης με πρωτοβουλία των τοπικών κοινοτήτων.</w:t>
      </w:r>
    </w:p>
    <w:p w14:paraId="0D353DB7" w14:textId="77777777" w:rsidR="00BB2D35" w:rsidRPr="004F09CD" w:rsidRDefault="00BB2D35" w:rsidP="00B837F1">
      <w:pPr>
        <w:ind w:left="567" w:hanging="567"/>
      </w:pPr>
    </w:p>
    <w:p w14:paraId="05683F56" w14:textId="42F5CDAC" w:rsidR="00211BA6" w:rsidRPr="004F09CD" w:rsidRDefault="00BE066A" w:rsidP="00B837F1">
      <w:pPr>
        <w:pStyle w:val="a8"/>
        <w:numPr>
          <w:ilvl w:val="0"/>
          <w:numId w:val="27"/>
        </w:numPr>
        <w:ind w:left="567" w:hanging="567"/>
      </w:pPr>
      <w:r w:rsidRPr="004F09CD">
        <w:t>Με απογοήτευση διαπιστώνει ότι, στην παρούσα κατάσταση, οι αγροτικές περιοχές εξακολουθούν να είναι πολύ συχνά περιθωριοποιημένες παρότι αποτελούν πραγματικά παραδείγματα προς μίμηση στην ΕΕ. Αντιμέτωπες με επίμονα προβλήματα, όπως η δημογραφική αλλαγή, η ψηφιακή μετάβαση, η ανάγκη ανάπτυξης βιώσιμης γεωργίας που θα παράγει οικονομικά προσιτά και υψηλής ποιότητας τρόφιμα, καθώς και η προσαρμογή στην κλιματική αλλαγή, οι περιοχές αυτές πλήττονται από ανεπαρκή συντονισμό των πολιτικών. Αυτό συνεπάγεται σημαντικές καθυστερήσεις όσον αφορά τη δημοκρατική συμμετοχή, την πρόσβαση σε βασικές υπηρεσίες, τις υποδομές και την απασχόληση</w:t>
      </w:r>
      <w:r w:rsidR="00AD1119" w:rsidRPr="004F09CD">
        <w:rPr>
          <w:rStyle w:val="a6"/>
        </w:rPr>
        <w:footnoteReference w:id="2"/>
      </w:r>
      <w:r w:rsidRPr="004F09CD">
        <w:t xml:space="preserve">. Η κατάσταση αυτή αμαυρώνει την εικόνα της Ευρώπης, υπονομεύει τις προσπάθειες ενίσχυσης της οικονομικής, κοινωνικής και εδαφικής συνοχής μεταξύ των περιφερειών της ΕΕ και τροφοδοτεί έναν ανησυχητικό </w:t>
      </w:r>
      <w:proofErr w:type="spellStart"/>
      <w:r w:rsidRPr="004F09CD">
        <w:t>ευρωσκεπτικισμό</w:t>
      </w:r>
      <w:proofErr w:type="spellEnd"/>
      <w:r w:rsidRPr="004F09CD">
        <w:t>, απειλώντας κατ’ αυτόν τον τρόπο την ενότητα και τη σταθερότητα της Ένωσης.</w:t>
      </w:r>
    </w:p>
    <w:p w14:paraId="0B528389" w14:textId="77777777" w:rsidR="00211BA6" w:rsidRPr="004F09CD" w:rsidRDefault="00211BA6" w:rsidP="00B837F1">
      <w:pPr>
        <w:ind w:left="567" w:hanging="567"/>
      </w:pPr>
    </w:p>
    <w:p w14:paraId="778CE892" w14:textId="63916608" w:rsidR="00211BA6" w:rsidRPr="004F09CD" w:rsidRDefault="00BE066A" w:rsidP="00B837F1">
      <w:pPr>
        <w:pStyle w:val="a8"/>
        <w:numPr>
          <w:ilvl w:val="0"/>
          <w:numId w:val="27"/>
        </w:numPr>
        <w:ind w:left="567" w:hanging="567"/>
      </w:pPr>
      <w:r w:rsidRPr="002E2F11">
        <w:rPr>
          <w:b/>
          <w:bCs/>
        </w:rPr>
        <w:t>Εισηγείται, υπό το πρίσμα πρόσφατων μελετών και εκθέσεων</w:t>
      </w:r>
      <w:r w:rsidR="00BB2D35" w:rsidRPr="002E2F11">
        <w:rPr>
          <w:rStyle w:val="a6"/>
          <w:b/>
          <w:bCs/>
        </w:rPr>
        <w:footnoteReference w:id="3"/>
      </w:r>
      <w:r w:rsidRPr="002E2F11">
        <w:rPr>
          <w:b/>
          <w:bCs/>
        </w:rPr>
        <w:t>, να ενισχυθούν και να κατευθυνθούν καλύτερα οι πολιτικές με γνώμονα τον εκάστοτε τόπο (</w:t>
      </w:r>
      <w:proofErr w:type="spellStart"/>
      <w:r w:rsidRPr="002E2F11">
        <w:rPr>
          <w:b/>
          <w:bCs/>
        </w:rPr>
        <w:t>τοποκεντρικές</w:t>
      </w:r>
      <w:proofErr w:type="spellEnd"/>
      <w:r w:rsidRPr="002E2F11">
        <w:rPr>
          <w:b/>
          <w:bCs/>
        </w:rPr>
        <w:t xml:space="preserve"> πολιτικές) με την ενίσχυση της ικανότητας του μέσου ΤΑΠΤΚ-LEADER, έτσι ώστε να εκπληρωθούν τα αυξανόμενα αιτήματα από πλευράς αγροτικής ανάπτυξης και εδαφικής συνοχής</w:t>
      </w:r>
      <w:r w:rsidRPr="004F09CD">
        <w:t>. Τα προγράμματα αυτά έχουν αποδειχθεί μεν αποτελεσματικά όσον αφορά τη χειραφέτηση των αγροτικών περιοχών, αλλά τώρα πρέπει να προσαρμοστούν ώστε να ανταποκριθούν στα μελλοντικά ζητούμενα.</w:t>
      </w:r>
    </w:p>
    <w:p w14:paraId="73C32604" w14:textId="77777777" w:rsidR="00211BA6" w:rsidRPr="004F09CD" w:rsidRDefault="00211BA6" w:rsidP="00B837F1">
      <w:pPr>
        <w:ind w:left="567" w:hanging="567"/>
      </w:pPr>
    </w:p>
    <w:p w14:paraId="209666C2" w14:textId="10398543" w:rsidR="00211BA6" w:rsidRPr="004F09CD" w:rsidRDefault="00C96A1E" w:rsidP="00B837F1">
      <w:pPr>
        <w:pStyle w:val="a8"/>
        <w:numPr>
          <w:ilvl w:val="0"/>
          <w:numId w:val="27"/>
        </w:numPr>
        <w:ind w:left="567" w:hanging="567"/>
      </w:pPr>
      <w:r w:rsidRPr="004F09CD">
        <w:t xml:space="preserve">Επιμένει ότι το πρόγραμμα ΤΑΠΤΚ-LEADER, ως ήδη εδραιωμένο και γνωστό μέσο σε όλες τις αγροτικές περιοχές της Ευρώπης, θα πρέπει να ενσωματωθεί πλήρως στο «μακροπρόθεσμο όραμα για τις αγροτικές περιοχές» και να το αξιοποιήσει για την εκπλήρωση των στόχων του. Τονίζει ότι η ενίσχυση ολοκληρωμένων και εξειδικευμένων μέσων, όπως η ΤΑΠΤΚ, μεγιστοποιεί την αποδοχή της εν λόγω πολιτικής στις περιφέρειες και συμβάλλει στην προώθηση </w:t>
      </w:r>
      <w:proofErr w:type="spellStart"/>
      <w:r w:rsidRPr="004F09CD">
        <w:t>τοποκεντρικών</w:t>
      </w:r>
      <w:proofErr w:type="spellEnd"/>
      <w:r w:rsidRPr="004F09CD">
        <w:t xml:space="preserve"> προσεγγίσεων στο πλαίσιο της πολιτικής συνοχής.</w:t>
      </w:r>
    </w:p>
    <w:p w14:paraId="0691EB5F" w14:textId="77777777" w:rsidR="0067644B" w:rsidRPr="004F09CD" w:rsidRDefault="0067644B" w:rsidP="004F09CD"/>
    <w:p w14:paraId="2E4D13BE" w14:textId="409273B7" w:rsidR="0067644B" w:rsidRPr="002E2F11" w:rsidRDefault="0067644B" w:rsidP="00B837F1">
      <w:pPr>
        <w:pStyle w:val="a8"/>
        <w:numPr>
          <w:ilvl w:val="0"/>
          <w:numId w:val="27"/>
        </w:numPr>
        <w:ind w:left="567" w:hanging="567"/>
        <w:rPr>
          <w:b/>
          <w:bCs/>
        </w:rPr>
      </w:pPr>
      <w:r w:rsidRPr="004F09CD">
        <w:t xml:space="preserve">Καλεί τα κράτη μέλη να αξιοποιήσουν πλήρως τις δυνατότητες του προγράμματος ΤΑΠΤΚ-LEADER και υπενθυμίζει </w:t>
      </w:r>
      <w:r w:rsidRPr="002E2F11">
        <w:rPr>
          <w:b/>
          <w:bCs/>
        </w:rPr>
        <w:t>την ανάγκη διατήρησης επαρκούς επιπέδου χρηματοδότησής του, με σκοπό τη διαφύλαξη και την αποκατάσταση ζωντανών και ακμαίων τοπικών αγροτικών οικονομιών.</w:t>
      </w:r>
    </w:p>
    <w:p w14:paraId="44F0EB54" w14:textId="77777777" w:rsidR="00211BA6" w:rsidRPr="004F09CD" w:rsidRDefault="00211BA6" w:rsidP="00B837F1">
      <w:pPr>
        <w:ind w:left="567" w:hanging="567"/>
      </w:pPr>
    </w:p>
    <w:p w14:paraId="1F2C1D4E" w14:textId="5A5483F1" w:rsidR="00BB2D35" w:rsidRPr="004F09CD" w:rsidRDefault="00BE066A" w:rsidP="00B837F1">
      <w:pPr>
        <w:pStyle w:val="a8"/>
        <w:numPr>
          <w:ilvl w:val="0"/>
          <w:numId w:val="27"/>
        </w:numPr>
        <w:ind w:left="567" w:hanging="567"/>
      </w:pPr>
      <w:r w:rsidRPr="004F09CD">
        <w:t xml:space="preserve">Ζητεί να επεκταθεί ο προβληματισμός αυτός στον κατακερματισμό της </w:t>
      </w:r>
      <w:proofErr w:type="spellStart"/>
      <w:r w:rsidRPr="004F09CD">
        <w:t>ενωσιακής</w:t>
      </w:r>
      <w:proofErr w:type="spellEnd"/>
      <w:r w:rsidRPr="004F09CD">
        <w:t xml:space="preserve"> χρηματοδότησης των αγροτικών περιοχών. Μολονότι το Ευρωπαϊκό Γεωργικό Ταμείο Αγροτικής Ανάπτυξης είναι αυτό που έχει συμβάλει περισσότερο στην ανάπτυξη των αγροτικών περιοχών, η επέκταση των στόχων της κοινής γεωργικής πολιτικής τα τελευταία χρόνια έχει αφήσει ελάχιστα περιθώρια για τις αγροτικές υποδομές και υπηρεσίες, καθώς και για την τοπική ανάπτυξη εν γένει.</w:t>
      </w:r>
    </w:p>
    <w:p w14:paraId="77569CFF" w14:textId="77777777" w:rsidR="007A28E1" w:rsidRPr="004F09CD" w:rsidRDefault="007A28E1" w:rsidP="004F09CD"/>
    <w:p w14:paraId="1E1658AC" w14:textId="0F2EE4F4" w:rsidR="007A28E1" w:rsidRPr="004F09CD" w:rsidRDefault="007A28E1" w:rsidP="00B837F1">
      <w:pPr>
        <w:pStyle w:val="a8"/>
        <w:numPr>
          <w:ilvl w:val="0"/>
          <w:numId w:val="27"/>
        </w:numPr>
        <w:ind w:left="567" w:hanging="567"/>
      </w:pPr>
      <w:r w:rsidRPr="004F09CD">
        <w:t>Καλεί την Ευρωπαϊκή Επιτροπή να διασφαλίσει ότι η ολοκληρωμένη και με πρωτοβουλία κοινοτήτων αγροτική τοπική διάσταση λαμβάνεται δεόντως υπόψη από όλα τα κράτη μέλη και να αξιολογήσει την εφαρμογή και τον αντίκτυπό της στα στρατηγικά σχέδια της κοινής γεωργικής πολιτικής, στις συμφωνίες εταιρικής σχέσης για τα προγράμματα της πολιτικής συνοχής και στα σχέδια ανάκαμψης και ανθεκτικότητας.</w:t>
      </w:r>
    </w:p>
    <w:p w14:paraId="40B72E5F" w14:textId="77777777" w:rsidR="00BB2D35" w:rsidRPr="004F09CD" w:rsidRDefault="00BB2D35" w:rsidP="00211BA6"/>
    <w:p w14:paraId="5065C437" w14:textId="370BB64C" w:rsidR="00BB2D35" w:rsidRPr="004F09CD" w:rsidRDefault="00BE066A" w:rsidP="00B837F1">
      <w:pPr>
        <w:pStyle w:val="a8"/>
        <w:numPr>
          <w:ilvl w:val="0"/>
          <w:numId w:val="27"/>
        </w:numPr>
        <w:ind w:left="567" w:hanging="567"/>
      </w:pPr>
      <w:r w:rsidRPr="004F09CD">
        <w:t>Κρίνει ότι άλλα ταμεία παρέχουν ευκαιρίες και λύσεις στις αγροτικές περιοχές, όπως το Ευρωπαϊκό Ταμείο Περιφερειακής Ανάπτυξης (ΕΤΠΑ), το Ευρωπαϊκό Κοινωνικό Ταμείο+ (ΕΚΤ+) και το Ταμείο Δίκαιης Μετάβασης (ΤΔΜ).</w:t>
      </w:r>
    </w:p>
    <w:p w14:paraId="0F003E4E" w14:textId="77777777" w:rsidR="00BB2D35" w:rsidRPr="004F09CD" w:rsidRDefault="00BB2D35" w:rsidP="00B837F1">
      <w:pPr>
        <w:ind w:left="567" w:hanging="567"/>
      </w:pPr>
    </w:p>
    <w:p w14:paraId="770BAF3E" w14:textId="5AEBECD3" w:rsidR="00BB2D35" w:rsidRPr="002E2F11" w:rsidRDefault="00BE066A" w:rsidP="00B837F1">
      <w:pPr>
        <w:pStyle w:val="a8"/>
        <w:numPr>
          <w:ilvl w:val="0"/>
          <w:numId w:val="27"/>
        </w:numPr>
        <w:ind w:left="567" w:hanging="567"/>
        <w:rPr>
          <w:b/>
          <w:bCs/>
        </w:rPr>
      </w:pPr>
      <w:r w:rsidRPr="004F09CD">
        <w:t xml:space="preserve">Εισηγείται όλα τα ενωσιακά διαρθρωτικά ταμεία να υποστηρίξουν τη δημιουργία θέσεων εργασίας, την κοινωνική ένταξη των ατόμων, την παροχή υπηρεσιών στους αγροτικούς πληθυσμούς, την καινοτομία και την ανταγωνιστικότητα στην αγροτική οικονομία, και να εξασφαλίσουν στις αγροτικές κοινότητες κατάλληλες υποδομές, συμπεριλαμβανομένης της αξιοπρεπούς, οικονομικά προσιτής και επαρκούς στέγασης. </w:t>
      </w:r>
      <w:r w:rsidRPr="002E2F11">
        <w:rPr>
          <w:b/>
          <w:bCs/>
        </w:rPr>
        <w:t>Μέρος των κονδυλίων αυτών θα πρέπει να διατεθεί για την ενδυνάμωση της τοπικής προσέγγισης στις αγροτικές περιοχές μέσω της ΤΑΠΤΚ για τη μη γεωργική ανάπτυξη της υπαίθρου, έτσι ώστε να συμπληρωθούν οι δράσεις που υποστηρίζονται στο πλαίσιο της προσέγγισης LEADER και να διευκολυνθεί σημαντικά η αντιμετώπιση της «γεωγραφίας της δυσαρέσκειας».</w:t>
      </w:r>
    </w:p>
    <w:p w14:paraId="6AC81873" w14:textId="77777777" w:rsidR="00BB2D35" w:rsidRPr="004F09CD" w:rsidRDefault="00BB2D35" w:rsidP="00B837F1">
      <w:pPr>
        <w:ind w:left="567" w:hanging="567"/>
      </w:pPr>
    </w:p>
    <w:p w14:paraId="6980E0F6" w14:textId="64D1111C" w:rsidR="00211BA6" w:rsidRPr="004F09CD" w:rsidRDefault="00DD320F" w:rsidP="00B837F1">
      <w:pPr>
        <w:pStyle w:val="a8"/>
        <w:numPr>
          <w:ilvl w:val="0"/>
          <w:numId w:val="27"/>
        </w:numPr>
        <w:ind w:left="567" w:hanging="567"/>
      </w:pPr>
      <w:r w:rsidRPr="004F09CD">
        <w:t xml:space="preserve">Θεωρεί απολύτως αναγκαίο να απλουστευτεί η πρόσβαση στη χρηματοδότηση και τις διαδικασίες της ΕΕ βάσει συνεκτικής και ευπροσάρμοστης προσέγγισης όσον αφορά την τοπική ανάπτυξη, ιδίως για τις αγροτικές περιοχές, με παράλληλη τήρηση των αρχών της </w:t>
      </w:r>
      <w:proofErr w:type="spellStart"/>
      <w:r w:rsidRPr="004F09CD">
        <w:t>πολυεπίπεδης</w:t>
      </w:r>
      <w:proofErr w:type="spellEnd"/>
      <w:r w:rsidRPr="004F09CD">
        <w:t xml:space="preserve"> διακυβέρνησης και της εταιρικής σχέσης, ιδίως ενόψει μιας μελλοντικής διεύρυνσης της ΕΕ.</w:t>
      </w:r>
    </w:p>
    <w:p w14:paraId="59FD4AAA" w14:textId="77777777" w:rsidR="005C7444" w:rsidRPr="004F09CD" w:rsidRDefault="005C7444" w:rsidP="005A71B3">
      <w:pPr>
        <w:spacing w:line="281" w:lineRule="auto"/>
      </w:pPr>
    </w:p>
    <w:p w14:paraId="08A485E2" w14:textId="0977F68F" w:rsidR="00211BA6" w:rsidRPr="004F09CD" w:rsidRDefault="00173932" w:rsidP="008019B3">
      <w:pPr>
        <w:pStyle w:val="3"/>
        <w:numPr>
          <w:ilvl w:val="0"/>
          <w:numId w:val="0"/>
        </w:numPr>
        <w:ind w:left="360"/>
        <w:rPr>
          <w:b/>
          <w:bCs/>
          <w:i/>
          <w:iCs/>
        </w:rPr>
      </w:pPr>
      <w:r w:rsidRPr="004F09CD">
        <w:rPr>
          <w:b/>
          <w:i/>
        </w:rPr>
        <w:t>Διευκόλυνση της πρόσβασης των αγροτικών περιοχών στη χρηματοδότηση</w:t>
      </w:r>
    </w:p>
    <w:p w14:paraId="2AB0EE7E" w14:textId="77777777" w:rsidR="00211BA6" w:rsidRPr="004F09CD" w:rsidRDefault="00211BA6" w:rsidP="00211BA6"/>
    <w:p w14:paraId="1F702B4F" w14:textId="4D238C2F" w:rsidR="00705ECE" w:rsidRPr="004F09CD" w:rsidRDefault="00BE066A" w:rsidP="00B837F1">
      <w:pPr>
        <w:pStyle w:val="a8"/>
        <w:numPr>
          <w:ilvl w:val="0"/>
          <w:numId w:val="27"/>
        </w:numPr>
        <w:ind w:left="567" w:hanging="567"/>
      </w:pPr>
      <w:r w:rsidRPr="004F09CD">
        <w:t>Τονίζει ότι είναι σημαντικό η χρηματοδότηση κάθε τόπου να γίνεται με τρόπο συνεκτικό και ευπροσάρμοστο, με την απλούστευση και τη διευκόλυνση της πρόσβασης στην ενωσιακή χρηματοδότηση μέσω μιας μεθόδου συνδυασμού των διαφόρων ταμείων.</w:t>
      </w:r>
    </w:p>
    <w:p w14:paraId="4012B242" w14:textId="77777777" w:rsidR="00705ECE" w:rsidRPr="004F09CD" w:rsidRDefault="00705ECE" w:rsidP="004F09CD"/>
    <w:p w14:paraId="60257BB1" w14:textId="3B2ACE43" w:rsidR="00211BA6" w:rsidRPr="004F09CD" w:rsidRDefault="00BE066A" w:rsidP="00B837F1">
      <w:pPr>
        <w:pStyle w:val="a8"/>
        <w:numPr>
          <w:ilvl w:val="0"/>
          <w:numId w:val="27"/>
        </w:numPr>
        <w:ind w:left="567" w:hanging="567"/>
      </w:pPr>
      <w:r w:rsidRPr="004F09CD">
        <w:t xml:space="preserve">Συνιστά να προκριθεί η χρήση χρηματοδότησης </w:t>
      </w:r>
      <w:proofErr w:type="spellStart"/>
      <w:r w:rsidRPr="004F09CD">
        <w:t>πολυταμειακού</w:t>
      </w:r>
      <w:proofErr w:type="spellEnd"/>
      <w:r w:rsidRPr="004F09CD">
        <w:t xml:space="preserve"> τύπου εν αναμονή μιας νέας προσέγγισης, με παράλληλη μείωση πρωτίστως των υπερβολικών διοικητικών διατυπώσεων που συνεπάγονται οι ισχύουσες διαδικασίες.</w:t>
      </w:r>
    </w:p>
    <w:p w14:paraId="20C42DC2" w14:textId="77777777" w:rsidR="00000F2D" w:rsidRPr="004F09CD" w:rsidRDefault="00000F2D" w:rsidP="004F09CD"/>
    <w:p w14:paraId="1BC7389E" w14:textId="712B540A" w:rsidR="00000F2D" w:rsidRPr="004F09CD" w:rsidRDefault="00BE066A" w:rsidP="00DA6150">
      <w:pPr>
        <w:pStyle w:val="a8"/>
        <w:numPr>
          <w:ilvl w:val="0"/>
          <w:numId w:val="27"/>
        </w:numPr>
        <w:ind w:left="567" w:hanging="567"/>
      </w:pPr>
      <w:r w:rsidRPr="004F09CD">
        <w:t>Συνιστά να ενθαρρυνθούν οι διαχειριστικές αρχές να αξιοποιήσουν τις βέλτιστες πρακτικές πιο ευέλικτης χρηματοδότησης μέσω της LEADER για το τέλος της περιόδου προγραμματισμού 2021-2027.</w:t>
      </w:r>
    </w:p>
    <w:p w14:paraId="501E3F69" w14:textId="77777777" w:rsidR="008F5BE9" w:rsidRPr="004F09CD" w:rsidRDefault="008F5BE9" w:rsidP="00DA6150"/>
    <w:p w14:paraId="06B3E922" w14:textId="6F651ED4" w:rsidR="00705ECE" w:rsidRPr="004F09CD" w:rsidRDefault="00D70126">
      <w:pPr>
        <w:pStyle w:val="a8"/>
        <w:numPr>
          <w:ilvl w:val="0"/>
          <w:numId w:val="27"/>
        </w:numPr>
        <w:overflowPunct/>
        <w:autoSpaceDE/>
        <w:autoSpaceDN/>
        <w:adjustRightInd/>
        <w:ind w:left="567" w:hanging="567"/>
        <w:textAlignment w:val="auto"/>
      </w:pPr>
      <w:r w:rsidRPr="002E2F11">
        <w:rPr>
          <w:b/>
          <w:bCs/>
        </w:rPr>
        <w:t>Προτείνει τη δημιουργία νέων χρηματοδοτικών εργαλείων για τη στήριξη της τοπικής ανάπτυξης με πρωτοβουλία των τοπικών κοινοτήτων (ΤΑΠΤΚ-LEADER) στα 27 κράτη μέλη μετά το 2027. Τα εργαλεία αυτά θα βασίζονται σε μια αρχή κοινού ταμείου, τροφοδοτούμενου με συνεισφορές από τα κύρια ευρωπαϊκά ταμεία, όπως το Ευρωπαϊκό Γεωργικό Ταμείο Αγροτικής Ανάπτυξης (ΕΓΤΑΑ), το Ευρωπαϊκό Ταμείο Περιφερειακής Ανάπτυξης (ΕΤΠΑ), το Ευρωπαϊκό Κοινωνικό Ταμείο + (ΕΚΤ +) και το Ταμείο Δίκαιης Μετάβασης (ΤΔΜ).</w:t>
      </w:r>
      <w:r w:rsidRPr="004F09CD">
        <w:t xml:space="preserve"> Ο μηχανισμός αυτός θα διέπεται από ένα ενιαίο κανονιστικό πλαίσιο που θα απλουστεύει την εφαρμογή των τοπικών στρατηγικών οι οποίες επί του παρόντος είναι μεν πολυταμειακές, αλλά όχι επαρκώς λειτουργικές, και υποχρησιμοποιούνται στην τρέχουσα κατάστασή τους. Με αυτά τα χρηματοδοτικά εργαλεία θα αξιοποιηθεί πλήρως η Συνθήκη της Λισαβόνας, καθόσον θα υπάρξει ενίσχυση της εδαφικής συνοχής, και θα προαχθεί η βέλτιστη απορρόφηση των κονδυλίων που χορηγούνται στα κράτη μέλη, και ιδίως στις αγροτικές περιοχές. Θα μπορούν να χρησιμοποιούνται σε κάθε είδους γεωγραφική περιοχή, ανεξαρτήτως του βαθμού αστικοποίησής της, αλλά ένας μηχανισμός οριοθέτησης των χρηματοδοτήσεων («ring-fencing») θα εγγυάται την προστασία των μεριδίων που προορίζονται για τις ευάλωτες περιοχές, δηλαδή για τις αγροτικές, τις περιαστικές, τις ορεινές, τις νησιωτικές και τις παραμεθόριες. Το σύστημα αυτό αναμένεται να συμβάλει στη δημιουργία θέσεων εργασίας, στην κοινωνική ένταξη των ατόμων, στην ανάπτυξη των υπηρεσιών που παρέχονται στους αγροτικούς πληθυσμούς, στην καινοτομία και στην ανταγωνιστικότητα στην αγροτική οικονομία, καθώς και στην εξασφάλιση υποδομών προσαρμοσμένων στις ανάγκες των τοπικών κοινοτήτων.</w:t>
      </w:r>
    </w:p>
    <w:p w14:paraId="599CDD5B" w14:textId="77777777" w:rsidR="00211BA6" w:rsidRPr="004F09CD" w:rsidRDefault="00211BA6" w:rsidP="004F09CD"/>
    <w:p w14:paraId="6E38902F" w14:textId="77777777" w:rsidR="00211BA6" w:rsidRPr="004F09CD" w:rsidRDefault="00211BA6" w:rsidP="00280FBA">
      <w:pPr>
        <w:pStyle w:val="a8"/>
        <w:ind w:left="567" w:hanging="567"/>
        <w:rPr>
          <w:b/>
          <w:bCs/>
          <w:i/>
          <w:iCs/>
        </w:rPr>
      </w:pPr>
      <w:r w:rsidRPr="004F09CD">
        <w:rPr>
          <w:b/>
          <w:i/>
        </w:rPr>
        <w:t>Αξιοποίηση της δυναμικής των ομάδων τοπικής δράσης και συμμετοχή των αρμοδίων</w:t>
      </w:r>
    </w:p>
    <w:p w14:paraId="0B00562F" w14:textId="77777777" w:rsidR="00211BA6" w:rsidRPr="004F09CD" w:rsidRDefault="00211BA6" w:rsidP="004F09CD"/>
    <w:p w14:paraId="5BDB4D21" w14:textId="40C5B67F" w:rsidR="00000F2D" w:rsidRPr="004F09CD" w:rsidRDefault="00D70126" w:rsidP="00000F2D">
      <w:pPr>
        <w:pStyle w:val="a8"/>
        <w:numPr>
          <w:ilvl w:val="0"/>
          <w:numId w:val="27"/>
        </w:numPr>
        <w:ind w:left="567" w:hanging="567"/>
      </w:pPr>
      <w:r w:rsidRPr="004F09CD">
        <w:t>Εισηγείται να αναδειχθεί η στρατηγικής σημασίας λειτουργία των ομάδων τοπικής δράσης σε εθνικό και περιφερειακό επίπεδο (ορισμένες από τις οποίες λειτουργούν από το 1991) ως φορέων καινοτόμων λύσεων προσαρμοσμένων στις ανάγκες των αγροτικών περιοχών. Οι εν λόγω τοπικές οντότητες, οι οποίες αποτελούνται από επαΐοντες κάθε τόπου, έχουν άριστη γνώση των τοπικών ιδιαιτεροτήτων και των συντελεστών ανάπτυξης.</w:t>
      </w:r>
    </w:p>
    <w:p w14:paraId="67CEA5AB" w14:textId="77777777" w:rsidR="00214B73" w:rsidRPr="004F09CD" w:rsidRDefault="00214B73" w:rsidP="004F09CD"/>
    <w:p w14:paraId="55A459AD" w14:textId="4DD82AB7" w:rsidR="00000F2D" w:rsidRPr="004F09CD" w:rsidRDefault="00D70126" w:rsidP="00214B73">
      <w:pPr>
        <w:pStyle w:val="a8"/>
        <w:numPr>
          <w:ilvl w:val="0"/>
          <w:numId w:val="27"/>
        </w:numPr>
        <w:ind w:left="567" w:hanging="567"/>
      </w:pPr>
      <w:r w:rsidRPr="002E2F11">
        <w:rPr>
          <w:b/>
          <w:bCs/>
        </w:rPr>
        <w:t>Ενθαρρύνει τις διαχειριστικές αρχές να ενισχύσουν τη θεσμική αναγνώριση των εν λόγω ομάδων και να τις υποστηρίξουν στην προσπάθειά τους να αναπτύξουν μια στρατηγική αγροτικής ανάπτυξης.</w:t>
      </w:r>
      <w:r w:rsidRPr="004F09CD">
        <w:t xml:space="preserve"> Οι ομάδες αυτές πρέπει να διαθέτουν περισσότερα μέσα και μεγαλύτερη αυτονομία, έτσι ώστε να μπορούν να μεγιστοποιήσουν την επίδρασή τους στον εκάστοτε τόπο. Η λειτουργία τους υπερβαίνει την απλή εκτέλεση των έργων, καθότι πρόκειται για αρμοδίους σημαντικούς για την εδαφική συνοχή και τη δημιουργία τοπικών δικτύων.</w:t>
      </w:r>
    </w:p>
    <w:p w14:paraId="674D0B0B" w14:textId="77777777" w:rsidR="00705ECE" w:rsidRPr="004F09CD" w:rsidRDefault="00705ECE" w:rsidP="004F09CD"/>
    <w:p w14:paraId="6EC761EC" w14:textId="00D36CB4" w:rsidR="00211BA6" w:rsidRPr="004F09CD" w:rsidRDefault="00D70126" w:rsidP="00280FBA">
      <w:pPr>
        <w:pStyle w:val="a8"/>
        <w:numPr>
          <w:ilvl w:val="0"/>
          <w:numId w:val="27"/>
        </w:numPr>
        <w:ind w:left="567" w:hanging="567"/>
      </w:pPr>
      <w:r w:rsidRPr="004F09CD">
        <w:t>Προτρέπει τις διαχειριστικές αρχές να συνεχίσουν να ακολουθούν μια πιο σφαιρική και συμμετοχική προσέγγιση της αγροτικής ανάπτυξης. Ο απώτερος στόχος των διαχειριστικών αρχών πρέπει να επικεντρώνεται στη συνοχή και την ανάπτυξη κάθε τόπου. Για τον σκοπό αυτό, πρέπει να ενισχυθεί η διοικητική και χρηματοδοτική οργάνωση στις αγροτικές περιοχές.</w:t>
      </w:r>
    </w:p>
    <w:p w14:paraId="00C1219F" w14:textId="77777777" w:rsidR="00705ECE" w:rsidRPr="004F09CD" w:rsidRDefault="00705ECE" w:rsidP="008019B3">
      <w:pPr>
        <w:overflowPunct/>
        <w:autoSpaceDE/>
        <w:autoSpaceDN/>
        <w:adjustRightInd/>
        <w:spacing w:line="240" w:lineRule="auto"/>
        <w:textAlignment w:val="auto"/>
      </w:pPr>
    </w:p>
    <w:p w14:paraId="72049816" w14:textId="6AD887D4" w:rsidR="00211BA6" w:rsidRPr="004F09CD" w:rsidRDefault="00D70126" w:rsidP="00280FBA">
      <w:pPr>
        <w:pStyle w:val="a8"/>
        <w:numPr>
          <w:ilvl w:val="0"/>
          <w:numId w:val="27"/>
        </w:numPr>
        <w:ind w:left="567" w:hanging="567"/>
      </w:pPr>
      <w:r w:rsidRPr="004F09CD">
        <w:t>Προτείνει τη θέσπιση ενός συστήματος εποπτείας σε ενωσιακό επίπεδο για την επαλήθευση της πλήρως δημοκρατικής διαχείρισης των ταμείων, με μέριμνα ότι οι τοπικοί αρμόδιοι θα συμμετέχουν πραγματικά στη διαδικασία λήψης αποφάσεων και ότι οι διαχειριστικές αρχές θα σέβονται την αρχή της συμμετοχικής ανάπτυξης.</w:t>
      </w:r>
    </w:p>
    <w:p w14:paraId="04AF2FBB" w14:textId="77777777" w:rsidR="00D15F3F" w:rsidRPr="004F09CD" w:rsidRDefault="00D15F3F" w:rsidP="004F09CD"/>
    <w:p w14:paraId="3C07076B" w14:textId="1BDCDAA7" w:rsidR="00214B73" w:rsidRPr="004F09CD" w:rsidRDefault="00D70126" w:rsidP="00214B73">
      <w:pPr>
        <w:pStyle w:val="a8"/>
        <w:numPr>
          <w:ilvl w:val="0"/>
          <w:numId w:val="27"/>
        </w:numPr>
        <w:ind w:left="567" w:hanging="567"/>
      </w:pPr>
      <w:r w:rsidRPr="004F09CD">
        <w:t>Ζητεί τη συμμετοχή περισσότερων εκπροσώπων της κοινωνίας των πολιτών στις ομάδες τοπικής δράσης, πέραν των επαϊόντων και των εκπροσώπων του ιδιωτικού και του δημόσιου τομέα που είναι ήδη συμμέτοχοι·</w:t>
      </w:r>
    </w:p>
    <w:p w14:paraId="4F1D4CDE" w14:textId="77777777" w:rsidR="00214B73" w:rsidRPr="004F09CD" w:rsidRDefault="00214B73" w:rsidP="00214B73"/>
    <w:p w14:paraId="48EB7029" w14:textId="1978520F" w:rsidR="00000F2D" w:rsidRPr="004F09CD" w:rsidRDefault="00D70126" w:rsidP="00000F2D">
      <w:pPr>
        <w:pStyle w:val="a8"/>
        <w:numPr>
          <w:ilvl w:val="0"/>
          <w:numId w:val="27"/>
        </w:numPr>
        <w:ind w:left="567" w:hanging="567"/>
      </w:pPr>
      <w:r w:rsidRPr="004F09CD">
        <w:t>Εισηγείται να αυξηθεί η συμμετοχή των γυναικών στα όργανα λήψης αποφάσεων των έργων LEADER και στην ΤΑΠΤΚ και ενθαρρύνει όλα τα επίπεδα της κοινωνίας, από τους νέους έως τους ηλικιωμένους, να συμμετέχουν στον σχεδιασμό και τη μελέτη των έργων.</w:t>
      </w:r>
    </w:p>
    <w:p w14:paraId="5FE50BA1" w14:textId="77777777" w:rsidR="00000F2D" w:rsidRPr="004F09CD" w:rsidRDefault="00000F2D" w:rsidP="00214B73"/>
    <w:p w14:paraId="16B6FA5B" w14:textId="06E3B7D4" w:rsidR="00D15F3F" w:rsidRPr="004F09CD" w:rsidRDefault="00D70126" w:rsidP="00280FBA">
      <w:pPr>
        <w:pStyle w:val="a8"/>
        <w:numPr>
          <w:ilvl w:val="0"/>
          <w:numId w:val="27"/>
        </w:numPr>
        <w:ind w:left="567" w:hanging="567"/>
      </w:pPr>
      <w:r w:rsidRPr="004F09CD">
        <w:t>Προκρίνει την εκτέλεση πιο καινοτόμων έργων μέσω της LEADER με τη βοήθεια κανόνων πιο ευνοϊκών για την καινοτομία και την κοινωνική καινοτομία. Η καινοτομία ενέχει εξ ορισμού αβεβαιότητα και τούτο πρέπει να αποτυπώνεται στους μηχανισμούς εκτέλεσης όπως ορίζεται στους κανονισμούς.</w:t>
      </w:r>
    </w:p>
    <w:p w14:paraId="5844FBDE" w14:textId="77777777" w:rsidR="00705ECE" w:rsidRPr="004F09CD" w:rsidRDefault="00705ECE" w:rsidP="004F09CD"/>
    <w:p w14:paraId="5746DE51" w14:textId="7DCD05D2" w:rsidR="00211BA6" w:rsidRPr="004F09CD" w:rsidRDefault="00D70126" w:rsidP="00280FBA">
      <w:pPr>
        <w:pStyle w:val="a8"/>
        <w:numPr>
          <w:ilvl w:val="0"/>
          <w:numId w:val="27"/>
        </w:numPr>
        <w:ind w:left="567" w:hanging="567"/>
      </w:pPr>
      <w:r w:rsidRPr="004F09CD">
        <w:t>Προτείνει να ενισχυθεί το έργο της επικοινωνίας και της εκπαίδευσης γύρω από το πρόγραμμα ΤΑΠΤΚ-LEADER, έτσι ώστε να δοθεί η δυνατότητα στους τοπικούς αρμοδίους να κατανοήσουν πλήρως τα οφέλη τους. Οι τοπικές αρχές, ιδίως στις αγροτικές και απομακρυσμένες περιοχές, πρέπει να ενημερώνονται καλύτερα σχετικά με τις ευκαιρίες που προσφέρει η προσέγγιση αυτή για τη διευκόλυνση της πρόσβασής τους στα κονδύλια της ΕΕ.</w:t>
      </w:r>
    </w:p>
    <w:p w14:paraId="1591619A" w14:textId="77777777" w:rsidR="00214B73" w:rsidRPr="004F09CD" w:rsidRDefault="00214B73" w:rsidP="00214B73"/>
    <w:p w14:paraId="27484B14" w14:textId="793ABAD4" w:rsidR="00211BA6" w:rsidRPr="004F09CD" w:rsidRDefault="00D70126" w:rsidP="00E53B54">
      <w:pPr>
        <w:pStyle w:val="a8"/>
        <w:numPr>
          <w:ilvl w:val="0"/>
          <w:numId w:val="27"/>
        </w:numPr>
        <w:ind w:left="567" w:hanging="567"/>
      </w:pPr>
      <w:r w:rsidRPr="004F09CD">
        <w:t>Προτείνει τη δημιουργία προγραμμάτων επιμόρφωσης των τοπικών αρμοδίων, ιδίως δε των εκπροσώπων της LEADER και των αιρετών αντιπροσώπων, για να ενισχυθούν οι δεξιότητές τους σχετικά με το ΤΑΠΤΚ-LEADER. Τα εν λόγω προγράμματα θα πρέπει να βελτιώνουν την κατανόηση των διαθέσιμων μέσων, να υποστηρίζουν τη σταθερότητα στη διαχείριση των έργων και να διασφαλίζουν τη συνέχεια της δραστηριότητας των ομάδων, δίνοντας παράλληλα ιδιαίτερη έμφαση σε ολοκληρωμένες στρατηγικές αγροτικής ανάπτυξης. Εν προκειμένω, το ζητούμενο θα πρέπει να είναι η εστίαση στην καινοτομία, την απόκτηση δεξιοτήτων, τις πολυταμειακές προσεγγίσεις και την αποτελεσματική χρήση των μηχανισμών της LEADER και της ΤΑΠΤΚ, με μέλημα την προώθηση της βιώσιμης αγροτικής ανάπτυξης. Επιμένει σθεναρά ότι πρέπει να καταστεί δυνατή η χρηματοδότηση της τοπικής «μηχανικής» για τους φορείς υλοποίησης αγροτικών έργων με σκοπό την ενίσχυση της οικονομικής και οικολογικής ανθεκτικότητας.</w:t>
      </w:r>
    </w:p>
    <w:p w14:paraId="2E487EFA" w14:textId="77777777" w:rsidR="00705ECE" w:rsidRPr="004F09CD" w:rsidRDefault="00705ECE" w:rsidP="004F09CD"/>
    <w:p w14:paraId="1B750620" w14:textId="78FF4249" w:rsidR="00211BA6" w:rsidRPr="004F09CD" w:rsidRDefault="00D70126" w:rsidP="00E53B54">
      <w:pPr>
        <w:pStyle w:val="a8"/>
        <w:numPr>
          <w:ilvl w:val="0"/>
          <w:numId w:val="27"/>
        </w:numPr>
        <w:ind w:left="567" w:hanging="567"/>
      </w:pPr>
      <w:r w:rsidRPr="004F09CD">
        <w:t>Ζητεί την ανάπτυξη εξατομικευμένων προγραμμάτων υποστήριξης των ομάδων τοπικής δράσης, των τοπικών ενώσεων και άλλων δυνητικών δικαιούχων, έτσι ώστε να εξοικειωθούν περισσότερο με τη χρήση των κονδυλίων της πολιτικής συνοχής και να διευκολυνθεί η εκτέλεση έργων σε τοπικό επίπεδο, έως το τέλος της περιόδου προγραμματισμού 2021-2027.</w:t>
      </w:r>
    </w:p>
    <w:p w14:paraId="2E7822AE" w14:textId="77777777" w:rsidR="003C2809" w:rsidRPr="004F09CD" w:rsidRDefault="003C2809" w:rsidP="004F09CD"/>
    <w:p w14:paraId="16900763" w14:textId="4771FE1C" w:rsidR="003C2809" w:rsidRPr="004F09CD" w:rsidRDefault="003C2809" w:rsidP="00E53B54">
      <w:pPr>
        <w:pStyle w:val="a8"/>
        <w:numPr>
          <w:ilvl w:val="0"/>
          <w:numId w:val="27"/>
        </w:numPr>
        <w:ind w:left="567" w:hanging="567"/>
      </w:pPr>
      <w:r w:rsidRPr="004F09CD">
        <w:t>Προτείνει, μετά το 2027, να δημιουργηθούν προγράμματα επιμόρφωσης στα οποία θα μπορούν να συμμετέχουν όλοι οι αρμόδιοι της υπαίθρου, συμπεριλαμβανομένων των αρχών που διαχειρίζονται τα ενωσιακά ταμεία, των τοπικών αιρετών αντιπροσώπων, των ομάδων τοπικής δράσης και άλλων συναρμοδίων. Τα προγράμματα αυτά πρέπει να καθιστούν δυνατή την έμπρακτη εφαρμογή των κυριότερων αρχών των ΤΑΠΤΚ-LEADER, την εξασφάλιση των μέσων ανάληψης δράσης και την προαγωγή της οριζόντιας διαχείρισης, της λήψης αποφάσεων και της αποκεντρωμένης οργάνωσης.</w:t>
      </w:r>
    </w:p>
    <w:p w14:paraId="5375E61B" w14:textId="77777777" w:rsidR="00705ECE" w:rsidRPr="004F09CD" w:rsidRDefault="00705ECE" w:rsidP="004F09CD"/>
    <w:p w14:paraId="7378B484" w14:textId="5579A0BC" w:rsidR="00211BA6" w:rsidRPr="004F09CD" w:rsidRDefault="00D70126" w:rsidP="00E53B54">
      <w:pPr>
        <w:pStyle w:val="a8"/>
        <w:numPr>
          <w:ilvl w:val="0"/>
          <w:numId w:val="27"/>
        </w:numPr>
        <w:ind w:left="567" w:hanging="567"/>
      </w:pPr>
      <w:r w:rsidRPr="004F09CD">
        <w:lastRenderedPageBreak/>
        <w:t>Προτείνει να ενθαρρυνθεί η συνεχής επιμόρφωση για να αντισταθμιστεί η συχνή κινητικότητα των εκπροσώπων της LEADER ―ιδίως σε χώρες όπου η κινητικότητα αυτή είναι εντονότερη― και να βελτιωθεί η τοπική διαχείριση των κονδυλίων μέσω της καλύτερης κατανόησης των μηχανισμών χρηματοδότησης και τοπικής διαχείρισης.</w:t>
      </w:r>
    </w:p>
    <w:p w14:paraId="228A10D6" w14:textId="77777777" w:rsidR="00D15F3F" w:rsidRPr="004F09CD" w:rsidRDefault="00D15F3F" w:rsidP="004F09CD"/>
    <w:p w14:paraId="09B8D122" w14:textId="56736A49" w:rsidR="00211BA6" w:rsidRPr="004F09CD" w:rsidRDefault="00173932" w:rsidP="00E53B54">
      <w:pPr>
        <w:pStyle w:val="3"/>
        <w:numPr>
          <w:ilvl w:val="0"/>
          <w:numId w:val="0"/>
        </w:numPr>
        <w:rPr>
          <w:b/>
          <w:bCs/>
          <w:i/>
          <w:iCs/>
        </w:rPr>
      </w:pPr>
      <w:r w:rsidRPr="004F09CD">
        <w:rPr>
          <w:b/>
          <w:i/>
        </w:rPr>
        <w:t>Επίδειξη μεγαλύτερης εμπιστοσύνης στην ΤΑΠΤΚ και τη LEADER</w:t>
      </w:r>
    </w:p>
    <w:p w14:paraId="075A742D" w14:textId="77777777" w:rsidR="00705ECE" w:rsidRPr="004F09CD" w:rsidRDefault="00705ECE" w:rsidP="004F09CD"/>
    <w:p w14:paraId="15FDE7E9" w14:textId="113392E9" w:rsidR="00211BA6" w:rsidRPr="004F09CD" w:rsidRDefault="00D70126" w:rsidP="00214B73">
      <w:pPr>
        <w:pStyle w:val="a8"/>
        <w:numPr>
          <w:ilvl w:val="0"/>
          <w:numId w:val="27"/>
        </w:numPr>
        <w:ind w:left="567" w:hanging="567"/>
      </w:pPr>
      <w:r w:rsidRPr="004F09CD">
        <w:t>Εισηγείται την προώθηση της αμοιβαίας εμπιστοσύνης μεταξύ των αρμοδίων με σκοπό να ενισχυθεί η αποτελεσματικότητα της ΤΑΠΤΚ η οποία, ιδίως μέσω της LEADER, έχει αποδείξει την ευελιξία και την αποτελεσματικότητά της σε αρκετά κράτη μέλη, ιδίως όταν οι τοπικές κυβερνήσεις και λοιπές αρχές τις εμπιστεύονται. Η εμπιστοσύνη αυτή είναι απαραίτητη για την επιτυχή χρήση των εν λόγω τοπικών μέσων.</w:t>
      </w:r>
    </w:p>
    <w:p w14:paraId="1D2D009B" w14:textId="77777777" w:rsidR="00705ECE" w:rsidRPr="004F09CD" w:rsidRDefault="00705ECE" w:rsidP="004F09CD"/>
    <w:p w14:paraId="48B686A6" w14:textId="3C17429C" w:rsidR="00211BA6" w:rsidRPr="004F09CD" w:rsidRDefault="00D70126" w:rsidP="006C2B63">
      <w:pPr>
        <w:pStyle w:val="a8"/>
        <w:numPr>
          <w:ilvl w:val="0"/>
          <w:numId w:val="27"/>
        </w:numPr>
        <w:ind w:left="567" w:hanging="567"/>
      </w:pPr>
      <w:r w:rsidRPr="004F09CD">
        <w:t>Εισηγείται να προταθεί η σύναψη συμφωνίας αμοιβαίας εμπιστοσύνης μεταξύ της Ευρωπαϊκής Επιτροπής, των κρατών μελών, των διαχειριστικών αρχών, των ομάδων τοπικής δράσης και των υπευθύνων εκτέλεσης των έργων. Στόχος της συμφωνίας θα πρέπει να είναι η αποφυγή του κανονιστικού υπερθεματισμού και ο περιορισμός τόσο της υπερβολικής επιβολής κανονιστικών ρυθμίσεων όσο και των απαιτήσεων διενέργειας σειράς ελέγχων από διάφορα επίπεδα αρχών, με παράλληλη διασφάλιση της άρτιας διαχείρισης των κονδυλίων. Το ζητούμενο είναι να επιτευχθεί ισορροπία μεταξύ της προστασίας από τους κινδύνους και της διευκόλυνσης της πρόσβασης στην ενωσιακή χρηματοδότηση.</w:t>
      </w:r>
    </w:p>
    <w:p w14:paraId="0F661D03" w14:textId="77777777" w:rsidR="00705ECE" w:rsidRPr="004F09CD" w:rsidRDefault="00705ECE" w:rsidP="004F09CD"/>
    <w:p w14:paraId="75B7F960" w14:textId="636321DA" w:rsidR="00000F2D" w:rsidRPr="004F09CD" w:rsidRDefault="00D70126" w:rsidP="00000F2D">
      <w:pPr>
        <w:pStyle w:val="a8"/>
        <w:numPr>
          <w:ilvl w:val="0"/>
          <w:numId w:val="27"/>
        </w:numPr>
        <w:ind w:left="567" w:hanging="567"/>
      </w:pPr>
      <w:r w:rsidRPr="004F09CD">
        <w:t>Προτείνει να ενθαρρυνθεί η χρήση προγραμμάτων προχρηματοδότησης και προκαταβολών για μικρά έργα σε όλα τα κράτη μέλη, ιδίως δε για εκείνα που αναλαμβάνουν επιχειρηματίες, ενώσεις ή μικρομεσαίες επιχειρήσεις. Επί του παρόντος, η χρηματοδότηση των εν λόγω έργων συχνά επιστρέφεται μετά την εκτέλεση των εργασιών, πράγμα το οποίο αποτελεί τροχοπέδη για ορισμένους τοπικούς αρμοδίους που δεν έχουν την οικονομική δυνατότητα να προκαταβάλλουν τα αναγκαία χρηματικά ποσά.</w:t>
      </w:r>
    </w:p>
    <w:p w14:paraId="5F5CD1CC" w14:textId="77777777" w:rsidR="00000F2D" w:rsidRPr="004F09CD" w:rsidRDefault="00000F2D" w:rsidP="004F09CD"/>
    <w:p w14:paraId="626F72D2" w14:textId="5476172A" w:rsidR="00211BA6" w:rsidRPr="002E2F11" w:rsidRDefault="00D70126" w:rsidP="00214B73">
      <w:pPr>
        <w:pStyle w:val="a8"/>
        <w:numPr>
          <w:ilvl w:val="0"/>
          <w:numId w:val="27"/>
        </w:numPr>
        <w:ind w:left="567" w:hanging="567"/>
        <w:rPr>
          <w:b/>
          <w:bCs/>
        </w:rPr>
      </w:pPr>
      <w:r w:rsidRPr="004F09CD">
        <w:t xml:space="preserve">Καλεί τα κράτη μέλη που χρησιμοποιούν ήδη επιλογές προχρηματοδότησης να μοιραστούν την πείρα τους με εκείνα στα οποία η εν λόγω πρακτική είναι λιγότερο διαδεδομένη, έτσι ώστε να ενθαρρυνθεί η γενικευμένη χρήση της. </w:t>
      </w:r>
      <w:r w:rsidRPr="002E2F11">
        <w:rPr>
          <w:b/>
          <w:bCs/>
        </w:rPr>
        <w:t>Επιπλέον, ζητεί τη δημιουργία μηχανισμού για τη διασφάλιση της συστηματικής καταβολής προκαταβολής αντιστοιχούσας στο 80 % της χορηγούμενης επιχορήγησης, αμέσως μετά την έγκριση του έργου. Στόχος του συστήματος αυτού είναι η μείωση των ταμειακών δυσκολιών που αντιμετωπίζουν οι φορείς υλοποίησης έργων, ιδίως στις αγροτικές και στις πλέον ευάλωτες περιοχές, με παράλληλη βελτίωση της αποτελεσματικότητας και της προσβασιμότητας της ευρωπαϊκής χρηματοδότησης.</w:t>
      </w:r>
    </w:p>
    <w:p w14:paraId="2F29F6D5" w14:textId="77777777" w:rsidR="00211BA6" w:rsidRPr="004F09CD" w:rsidRDefault="00211BA6"/>
    <w:p w14:paraId="77EF0ACA" w14:textId="77777777" w:rsidR="00211BA6" w:rsidRPr="004F09CD" w:rsidRDefault="00211BA6" w:rsidP="0099635D">
      <w:pPr>
        <w:pStyle w:val="3"/>
        <w:numPr>
          <w:ilvl w:val="0"/>
          <w:numId w:val="0"/>
        </w:numPr>
        <w:rPr>
          <w:b/>
          <w:bCs/>
          <w:i/>
          <w:iCs/>
        </w:rPr>
      </w:pPr>
      <w:r w:rsidRPr="004F09CD">
        <w:rPr>
          <w:b/>
          <w:i/>
        </w:rPr>
        <w:t>Ενίσχυση της τοπικής αυτοδιοίκησης με παράλληλη ενίσχυση των ελέγχων σε ενωσιακό επίπεδο</w:t>
      </w:r>
    </w:p>
    <w:p w14:paraId="4C7759E7" w14:textId="77777777" w:rsidR="00173932" w:rsidRPr="004F09CD" w:rsidRDefault="00173932">
      <w:pPr>
        <w:rPr>
          <w:rFonts w:eastAsiaTheme="majorEastAsia"/>
        </w:rPr>
      </w:pPr>
    </w:p>
    <w:p w14:paraId="287DD72D" w14:textId="782D7B6D" w:rsidR="00211BA6" w:rsidRPr="004F09CD" w:rsidRDefault="00D70126" w:rsidP="0099635D">
      <w:pPr>
        <w:pStyle w:val="a8"/>
        <w:numPr>
          <w:ilvl w:val="0"/>
          <w:numId w:val="27"/>
        </w:numPr>
        <w:ind w:left="567" w:hanging="567"/>
      </w:pPr>
      <w:r w:rsidRPr="004F09CD">
        <w:t>Εισηγείται να ενθαρρυνθεί και να ενισχυθεί η χρήση του μηχανισμού αγροτικής θωράκισης κατά τη θέσπιση της νομοθεσίας και των θεσμικών πλαισίων της ΕΕ, ιδίως όσον αφορά το επόμενο πολυετές δημοσιονομικό πλαίσιο, καθώς και τις εθνικές και περιφερειακές πολιτικές των κρατών μελών.</w:t>
      </w:r>
    </w:p>
    <w:p w14:paraId="3F8D1C4F" w14:textId="77777777" w:rsidR="00705ECE" w:rsidRPr="004F09CD" w:rsidRDefault="00705ECE" w:rsidP="00214B73"/>
    <w:p w14:paraId="439020FF" w14:textId="77777777" w:rsidR="00705ECE" w:rsidRPr="004F09CD" w:rsidRDefault="00705ECE" w:rsidP="004F09CD"/>
    <w:p w14:paraId="79793C29" w14:textId="7D8E88D3" w:rsidR="00211BA6" w:rsidRPr="004F09CD" w:rsidRDefault="00D70126" w:rsidP="0099635D">
      <w:pPr>
        <w:pStyle w:val="a8"/>
        <w:numPr>
          <w:ilvl w:val="0"/>
          <w:numId w:val="27"/>
        </w:numPr>
        <w:ind w:left="567" w:hanging="567"/>
      </w:pPr>
      <w:r w:rsidRPr="004F09CD">
        <w:lastRenderedPageBreak/>
        <w:t>Προτείνει όλες οι αρμόδιες γενικές διευθύνσεις της Ευρωπαϊκής Επιτροπής να συμμετέχουν σε εκτίμηση εδαφικού αντικτύπου των πολιτικών για τις οποίες είναι υπεύθυνες, τουλάχιστον δύο φορές ανά περίοδο προγραμματισμού. Οι εκτιμήσεις αυτές θα καταστήσουν δυνατή την καθιέρωση ακριβέστερης βάσης αναφοράς και τον εντοπισμό τρόπων βελτίωσης για την καλύτερη ενσωμάτωση των ιδιαιτεροτήτων των αγροτικών περιοχών στις ενωσιακές πολιτικές.</w:t>
      </w:r>
    </w:p>
    <w:p w14:paraId="42179C6A" w14:textId="77777777" w:rsidR="00705ECE" w:rsidRPr="004F09CD" w:rsidRDefault="00705ECE" w:rsidP="004F09CD"/>
    <w:p w14:paraId="3B05FA04" w14:textId="5734E24A" w:rsidR="00211BA6" w:rsidRPr="004F09CD" w:rsidRDefault="0032296D" w:rsidP="0099635D">
      <w:pPr>
        <w:pStyle w:val="a8"/>
        <w:numPr>
          <w:ilvl w:val="0"/>
          <w:numId w:val="27"/>
        </w:numPr>
        <w:ind w:left="567" w:hanging="567"/>
      </w:pPr>
      <w:r w:rsidRPr="004F09CD">
        <w:t>Ενθαρρύνει τα κράτη μέλη να διενεργούν ενδελεχείς αξιολογήσεις των εσωτερικών τους πολιτικών αγροτικής ανάπτυξης σύμφωνα με κοινή μεθοδολογία που θα προτείνει η Ευρωπαϊκή Επιτροπή. Με τις αξιολογήσεις αυτές θα διασφαλίζεται η καλύτερη συνεκτίμηση των αναγκών της υπαίθρου και θα ενισχύεται η συνέπεια των εθνικών και ενωσιακών πολιτικών.</w:t>
      </w:r>
    </w:p>
    <w:p w14:paraId="19AF81EF" w14:textId="77777777" w:rsidR="00705ECE" w:rsidRPr="004F09CD" w:rsidRDefault="00705ECE" w:rsidP="004F09CD"/>
    <w:p w14:paraId="31E6473C" w14:textId="49861EA3" w:rsidR="00211BA6" w:rsidRPr="004F09CD" w:rsidRDefault="00D70126" w:rsidP="0099635D">
      <w:pPr>
        <w:pStyle w:val="a8"/>
        <w:numPr>
          <w:ilvl w:val="0"/>
          <w:numId w:val="27"/>
        </w:numPr>
        <w:ind w:left="567" w:hanging="567"/>
      </w:pPr>
      <w:r w:rsidRPr="004F09CD">
        <w:t>Συνιστά να αξιολογηθεί κατά πόσον μια προσέγγιση βασισμένη στις επιδόσεις θα μπορούσε να είναι επωφελής για τη βελτίωση της αποτελεσματικότητας των πολιτικών προς όφελος των αγροτικών περιοχών. Αυτό συνεπάγεται τη σύνδεση μέρους της χρηματοδότησης με την επίτευξη ειδικών και μετρήσιμων στόχων, προκειμένου να διασφαλιστεί ότι οι πόροι θα διατίθενται εκεί όπου θα αποφέρουν ουσιώδη και διαρκή αποτελέσματα.</w:t>
      </w:r>
    </w:p>
    <w:p w14:paraId="684CA9D9" w14:textId="77777777" w:rsidR="008B0F9E" w:rsidRPr="004F09CD" w:rsidRDefault="008B0F9E"/>
    <w:p w14:paraId="601CCB76" w14:textId="77777777" w:rsidR="008B0F9E" w:rsidRPr="004F09CD" w:rsidRDefault="008B0F9E" w:rsidP="008B0F9E">
      <w:r w:rsidRPr="004F09CD">
        <w:t>Βρυξέλλες, ...</w:t>
      </w:r>
    </w:p>
    <w:p w14:paraId="4BB661B5" w14:textId="77777777" w:rsidR="00A012A8" w:rsidRPr="004F09CD" w:rsidRDefault="00A012A8" w:rsidP="00124EF4">
      <w:pPr>
        <w:keepNext/>
        <w:numPr>
          <w:ilvl w:val="0"/>
          <w:numId w:val="16"/>
        </w:numPr>
        <w:ind w:left="567" w:hanging="567"/>
        <w:rPr>
          <w:b/>
          <w:bCs/>
        </w:rPr>
      </w:pPr>
      <w:r w:rsidRPr="004F09CD">
        <w:br w:type="page"/>
      </w:r>
      <w:r w:rsidRPr="004F09CD">
        <w:rPr>
          <w:b/>
        </w:rPr>
        <w:lastRenderedPageBreak/>
        <w:t>ΔΙΑΔΙΚΑΣΙΑ</w:t>
      </w:r>
    </w:p>
    <w:p w14:paraId="2ECF2F8D" w14:textId="77777777" w:rsidR="00A012A8" w:rsidRPr="004F09CD" w:rsidRDefault="00A012A8" w:rsidP="00124E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3"/>
        <w:gridCol w:w="5460"/>
      </w:tblGrid>
      <w:tr w:rsidR="003A251A" w:rsidRPr="004F09CD" w14:paraId="2667F41C" w14:textId="77777777" w:rsidTr="000513FA">
        <w:tc>
          <w:tcPr>
            <w:tcW w:w="1514" w:type="pct"/>
            <w:noWrap/>
          </w:tcPr>
          <w:p w14:paraId="5D60030C" w14:textId="77777777" w:rsidR="00611E8C" w:rsidRPr="004F09CD" w:rsidRDefault="00611E8C" w:rsidP="006C436A">
            <w:pPr>
              <w:jc w:val="left"/>
              <w:rPr>
                <w:b/>
              </w:rPr>
            </w:pPr>
            <w:r w:rsidRPr="004F09CD">
              <w:rPr>
                <w:b/>
              </w:rPr>
              <w:t>Τίτλος</w:t>
            </w:r>
          </w:p>
          <w:p w14:paraId="4761C07F" w14:textId="77777777" w:rsidR="00611E8C" w:rsidRPr="004F09CD" w:rsidRDefault="00611E8C" w:rsidP="006C436A">
            <w:pPr>
              <w:jc w:val="left"/>
            </w:pPr>
          </w:p>
        </w:tc>
        <w:tc>
          <w:tcPr>
            <w:tcW w:w="3486" w:type="pct"/>
            <w:noWrap/>
          </w:tcPr>
          <w:p w14:paraId="0C229983" w14:textId="6531E604" w:rsidR="00611E8C" w:rsidRPr="004F09CD" w:rsidRDefault="00FA3836" w:rsidP="00124EF4">
            <w:r w:rsidRPr="004F09CD">
              <w:t>Πώς ο προγραμματισμός της LEADER και της ΤΑΠΤΚ μετά το 2027 μπορεί να συμβάλει στην καλύτερη υλοποίηση του μακροπρόθεσμου οράματος για τις αγροτικές περιοχές της ΕΕ;</w:t>
            </w:r>
          </w:p>
        </w:tc>
      </w:tr>
      <w:tr w:rsidR="003A251A" w:rsidRPr="004F09CD" w14:paraId="3707112E" w14:textId="77777777" w:rsidTr="000513FA">
        <w:tc>
          <w:tcPr>
            <w:tcW w:w="1514" w:type="pct"/>
            <w:noWrap/>
          </w:tcPr>
          <w:p w14:paraId="7D0C8E84" w14:textId="6E476A4B" w:rsidR="00611E8C" w:rsidRPr="004F09CD" w:rsidRDefault="00611E8C" w:rsidP="006C436A">
            <w:pPr>
              <w:jc w:val="left"/>
              <w:rPr>
                <w:b/>
              </w:rPr>
            </w:pPr>
            <w:r w:rsidRPr="004F09CD">
              <w:rPr>
                <w:b/>
              </w:rPr>
              <w:t>Έγγραφα αναφοράς</w:t>
            </w:r>
          </w:p>
        </w:tc>
        <w:tc>
          <w:tcPr>
            <w:tcW w:w="3486" w:type="pct"/>
            <w:noWrap/>
          </w:tcPr>
          <w:p w14:paraId="65C44E92" w14:textId="77777777" w:rsidR="00611E8C" w:rsidRPr="004F09CD" w:rsidRDefault="00611E8C" w:rsidP="00124EF4"/>
        </w:tc>
      </w:tr>
      <w:tr w:rsidR="003A251A" w:rsidRPr="004F09CD" w14:paraId="712498CE" w14:textId="77777777" w:rsidTr="000513FA">
        <w:tc>
          <w:tcPr>
            <w:tcW w:w="1514" w:type="pct"/>
            <w:noWrap/>
          </w:tcPr>
          <w:p w14:paraId="252AD8E5" w14:textId="77777777" w:rsidR="00611E8C" w:rsidRPr="004F09CD" w:rsidRDefault="00611E8C" w:rsidP="006C436A">
            <w:pPr>
              <w:jc w:val="left"/>
              <w:rPr>
                <w:b/>
              </w:rPr>
            </w:pPr>
            <w:r w:rsidRPr="004F09CD">
              <w:rPr>
                <w:b/>
              </w:rPr>
              <w:t>Νομική βάση</w:t>
            </w:r>
          </w:p>
        </w:tc>
        <w:tc>
          <w:tcPr>
            <w:tcW w:w="3486" w:type="pct"/>
            <w:noWrap/>
          </w:tcPr>
          <w:p w14:paraId="77CF9218" w14:textId="323EAA21" w:rsidR="00611E8C" w:rsidRPr="004F09CD" w:rsidRDefault="00212329" w:rsidP="00927C6C">
            <w:r w:rsidRPr="004F09CD">
              <w:t>Άρθρο 307 παρ. 4 της ΣΛΕΕ</w:t>
            </w:r>
          </w:p>
        </w:tc>
      </w:tr>
      <w:tr w:rsidR="003A251A" w:rsidRPr="004F09CD" w14:paraId="46755EB5" w14:textId="77777777" w:rsidTr="000513FA">
        <w:tc>
          <w:tcPr>
            <w:tcW w:w="1514" w:type="pct"/>
            <w:noWrap/>
          </w:tcPr>
          <w:p w14:paraId="2406FADE" w14:textId="77777777" w:rsidR="00611E8C" w:rsidRPr="004F09CD" w:rsidRDefault="00611E8C" w:rsidP="006C436A">
            <w:pPr>
              <w:jc w:val="left"/>
              <w:rPr>
                <w:b/>
              </w:rPr>
            </w:pPr>
            <w:r w:rsidRPr="004F09CD">
              <w:rPr>
                <w:b/>
              </w:rPr>
              <w:t>Κανονιστική βάση</w:t>
            </w:r>
          </w:p>
        </w:tc>
        <w:tc>
          <w:tcPr>
            <w:tcW w:w="3486" w:type="pct"/>
            <w:noWrap/>
          </w:tcPr>
          <w:p w14:paraId="3AD2DD02" w14:textId="77777777" w:rsidR="00611E8C" w:rsidRPr="004F09CD" w:rsidRDefault="00212329" w:rsidP="00927C6C">
            <w:r w:rsidRPr="004F09CD">
              <w:t xml:space="preserve">Άρθρο 41 στοιχείο β) σημείο </w:t>
            </w:r>
            <w:proofErr w:type="spellStart"/>
            <w:r w:rsidRPr="004F09CD">
              <w:t>ii</w:t>
            </w:r>
            <w:proofErr w:type="spellEnd"/>
            <w:r w:rsidRPr="004F09CD">
              <w:t>) του Εσωτερικού Κανονισμού</w:t>
            </w:r>
          </w:p>
        </w:tc>
      </w:tr>
      <w:tr w:rsidR="003A251A" w:rsidRPr="004F09CD" w14:paraId="501233CF" w14:textId="77777777" w:rsidTr="000513FA">
        <w:tc>
          <w:tcPr>
            <w:tcW w:w="1514" w:type="pct"/>
            <w:noWrap/>
          </w:tcPr>
          <w:p w14:paraId="1FBF1C73" w14:textId="77777777" w:rsidR="00611E8C" w:rsidRPr="004F09CD" w:rsidRDefault="00611E8C" w:rsidP="006C436A">
            <w:pPr>
              <w:jc w:val="left"/>
            </w:pPr>
            <w:r w:rsidRPr="004F09CD">
              <w:rPr>
                <w:b/>
              </w:rPr>
              <w:t>Αίτηση γνωμοδότησης του Συμβουλίου / του Ευρωπαϊκού Κοινοβουλίου / Επιστολή της Ευρωπαϊκής Επιτροπής</w:t>
            </w:r>
          </w:p>
        </w:tc>
        <w:tc>
          <w:tcPr>
            <w:tcW w:w="3486" w:type="pct"/>
            <w:noWrap/>
          </w:tcPr>
          <w:p w14:paraId="01B32154" w14:textId="77777777" w:rsidR="00611E8C" w:rsidRPr="004F09CD" w:rsidRDefault="00611E8C" w:rsidP="00124EF4"/>
        </w:tc>
      </w:tr>
      <w:tr w:rsidR="003A251A" w:rsidRPr="004F09CD" w14:paraId="507B52F3" w14:textId="77777777" w:rsidTr="000513FA">
        <w:tc>
          <w:tcPr>
            <w:tcW w:w="1514" w:type="pct"/>
            <w:noWrap/>
          </w:tcPr>
          <w:p w14:paraId="655A710E" w14:textId="77777777" w:rsidR="00611E8C" w:rsidRPr="004F09CD" w:rsidRDefault="00611E8C" w:rsidP="00927C6C">
            <w:pPr>
              <w:jc w:val="left"/>
            </w:pPr>
            <w:r w:rsidRPr="004F09CD">
              <w:rPr>
                <w:b/>
              </w:rPr>
              <w:t>Απόφαση του Προεδρείου / του Προέδρου</w:t>
            </w:r>
          </w:p>
        </w:tc>
        <w:tc>
          <w:tcPr>
            <w:tcW w:w="3486" w:type="pct"/>
            <w:noWrap/>
          </w:tcPr>
          <w:p w14:paraId="59B0034C" w14:textId="77777777" w:rsidR="00611E8C" w:rsidRPr="004F09CD" w:rsidRDefault="00611E8C" w:rsidP="00124EF4"/>
        </w:tc>
      </w:tr>
      <w:tr w:rsidR="003A251A" w:rsidRPr="004F09CD" w14:paraId="7F6275CA" w14:textId="77777777" w:rsidTr="000513FA">
        <w:tc>
          <w:tcPr>
            <w:tcW w:w="1514" w:type="pct"/>
            <w:noWrap/>
          </w:tcPr>
          <w:p w14:paraId="262A140A" w14:textId="45ACDB6F" w:rsidR="00611E8C" w:rsidRPr="004F09CD" w:rsidRDefault="00611E8C" w:rsidP="006C436A">
            <w:pPr>
              <w:jc w:val="left"/>
              <w:rPr>
                <w:b/>
              </w:rPr>
            </w:pPr>
            <w:r w:rsidRPr="004F09CD">
              <w:rPr>
                <w:b/>
              </w:rPr>
              <w:t>Αρμόδια επιτροπή</w:t>
            </w:r>
          </w:p>
        </w:tc>
        <w:tc>
          <w:tcPr>
            <w:tcW w:w="3486" w:type="pct"/>
            <w:noWrap/>
          </w:tcPr>
          <w:p w14:paraId="374F7C5B" w14:textId="77777777" w:rsidR="00611E8C" w:rsidRPr="004F09CD" w:rsidRDefault="00474F15" w:rsidP="00124EF4">
            <w:r w:rsidRPr="004F09CD">
              <w:t>Επιτροπή «Φυσικοί πόροι» (NAT)</w:t>
            </w:r>
          </w:p>
        </w:tc>
      </w:tr>
      <w:tr w:rsidR="003A251A" w:rsidRPr="004F09CD" w14:paraId="229E9456" w14:textId="77777777" w:rsidTr="000513FA">
        <w:tc>
          <w:tcPr>
            <w:tcW w:w="1514" w:type="pct"/>
            <w:noWrap/>
          </w:tcPr>
          <w:p w14:paraId="7F4DB233" w14:textId="77777777" w:rsidR="00611E8C" w:rsidRPr="004F09CD" w:rsidRDefault="00B73D1B" w:rsidP="006C436A">
            <w:pPr>
              <w:jc w:val="left"/>
              <w:rPr>
                <w:b/>
              </w:rPr>
            </w:pPr>
            <w:r w:rsidRPr="004F09CD">
              <w:rPr>
                <w:b/>
              </w:rPr>
              <w:t>Εισηγητής</w:t>
            </w:r>
          </w:p>
        </w:tc>
        <w:tc>
          <w:tcPr>
            <w:tcW w:w="3486" w:type="pct"/>
            <w:noWrap/>
          </w:tcPr>
          <w:p w14:paraId="62BA5D6A" w14:textId="3B110EE5" w:rsidR="00611E8C" w:rsidRPr="004F09CD" w:rsidRDefault="00272447" w:rsidP="00124EF4">
            <w:proofErr w:type="spellStart"/>
            <w:r w:rsidRPr="004F09CD">
              <w:t>Thibaut</w:t>
            </w:r>
            <w:proofErr w:type="spellEnd"/>
            <w:r w:rsidRPr="004F09CD">
              <w:t xml:space="preserve"> GUIGNARD (PPE/FR)</w:t>
            </w:r>
          </w:p>
        </w:tc>
      </w:tr>
      <w:tr w:rsidR="003A251A" w:rsidRPr="004F09CD" w14:paraId="35197CD4" w14:textId="77777777" w:rsidTr="000513FA">
        <w:tc>
          <w:tcPr>
            <w:tcW w:w="1514" w:type="pct"/>
            <w:noWrap/>
          </w:tcPr>
          <w:p w14:paraId="08AE3D29" w14:textId="291173E7" w:rsidR="00611E8C" w:rsidRPr="004F09CD" w:rsidRDefault="000513FA" w:rsidP="006C436A">
            <w:pPr>
              <w:jc w:val="left"/>
              <w:rPr>
                <w:b/>
              </w:rPr>
            </w:pPr>
            <w:r w:rsidRPr="004F09CD">
              <w:rPr>
                <w:b/>
              </w:rPr>
              <w:t>Εξέταση στην επιτροπή</w:t>
            </w:r>
          </w:p>
        </w:tc>
        <w:tc>
          <w:tcPr>
            <w:tcW w:w="3486" w:type="pct"/>
            <w:noWrap/>
          </w:tcPr>
          <w:p w14:paraId="1F6D09B1" w14:textId="39522E1B" w:rsidR="00611E8C" w:rsidRPr="004F09CD" w:rsidRDefault="00272447" w:rsidP="002D298C">
            <w:r w:rsidRPr="004F09CD">
              <w:t>27 Νοεμβρίου 2024</w:t>
            </w:r>
          </w:p>
        </w:tc>
      </w:tr>
      <w:tr w:rsidR="003A251A" w:rsidRPr="004F09CD" w14:paraId="46FD0837" w14:textId="77777777" w:rsidTr="000513FA">
        <w:tc>
          <w:tcPr>
            <w:tcW w:w="1514" w:type="pct"/>
            <w:noWrap/>
          </w:tcPr>
          <w:p w14:paraId="2DD6AD54" w14:textId="77777777" w:rsidR="00611E8C" w:rsidRPr="004F09CD" w:rsidRDefault="00611E8C" w:rsidP="006C436A">
            <w:pPr>
              <w:jc w:val="left"/>
              <w:rPr>
                <w:b/>
              </w:rPr>
            </w:pPr>
            <w:r w:rsidRPr="004F09CD">
              <w:rPr>
                <w:b/>
              </w:rPr>
              <w:t>Έγκριση από την επιτροπή</w:t>
            </w:r>
          </w:p>
        </w:tc>
        <w:tc>
          <w:tcPr>
            <w:tcW w:w="3486" w:type="pct"/>
            <w:noWrap/>
          </w:tcPr>
          <w:p w14:paraId="2EBD3B64" w14:textId="77777777" w:rsidR="0047548B" w:rsidRPr="004F09CD" w:rsidRDefault="0047548B" w:rsidP="00927C6C"/>
          <w:p w14:paraId="1FC440F7" w14:textId="20BF81F3" w:rsidR="00611E8C" w:rsidRPr="004F09CD" w:rsidRDefault="00272447" w:rsidP="00927C6C">
            <w:r w:rsidRPr="004F09CD">
              <w:t>27 Νοεμβρίου 2024</w:t>
            </w:r>
          </w:p>
        </w:tc>
      </w:tr>
      <w:tr w:rsidR="003A251A" w:rsidRPr="004F09CD" w14:paraId="039995AB" w14:textId="77777777" w:rsidTr="000513FA">
        <w:tc>
          <w:tcPr>
            <w:tcW w:w="1514" w:type="pct"/>
            <w:noWrap/>
          </w:tcPr>
          <w:p w14:paraId="74310091" w14:textId="77777777" w:rsidR="00611E8C" w:rsidRPr="004F09CD" w:rsidRDefault="00611E8C" w:rsidP="006C436A">
            <w:pPr>
              <w:jc w:val="left"/>
              <w:rPr>
                <w:b/>
              </w:rPr>
            </w:pPr>
            <w:r w:rsidRPr="004F09CD">
              <w:rPr>
                <w:b/>
              </w:rPr>
              <w:t>Αποτέλεσμα της ψηφοφορίας στην επιτροπή (πλειοψηφία/ομοφωνία)</w:t>
            </w:r>
          </w:p>
        </w:tc>
        <w:tc>
          <w:tcPr>
            <w:tcW w:w="3486" w:type="pct"/>
            <w:noWrap/>
          </w:tcPr>
          <w:p w14:paraId="16EFABAC" w14:textId="1620AB76" w:rsidR="00611E8C" w:rsidRPr="004F09CD" w:rsidRDefault="0047548B" w:rsidP="00124EF4">
            <w:r w:rsidRPr="004F09CD">
              <w:t>πλειοψηφία</w:t>
            </w:r>
          </w:p>
        </w:tc>
      </w:tr>
      <w:tr w:rsidR="003A251A" w:rsidRPr="004F09CD" w14:paraId="71519F7B" w14:textId="77777777" w:rsidTr="000513FA">
        <w:tc>
          <w:tcPr>
            <w:tcW w:w="1514" w:type="pct"/>
            <w:noWrap/>
          </w:tcPr>
          <w:p w14:paraId="360F6CBB" w14:textId="77777777" w:rsidR="00611E8C" w:rsidRPr="004F09CD" w:rsidRDefault="00611E8C" w:rsidP="006C436A">
            <w:pPr>
              <w:jc w:val="left"/>
              <w:rPr>
                <w:b/>
              </w:rPr>
            </w:pPr>
            <w:r w:rsidRPr="004F09CD">
              <w:rPr>
                <w:b/>
              </w:rPr>
              <w:t>Έγκριση από την Ολομέλεια</w:t>
            </w:r>
          </w:p>
        </w:tc>
        <w:tc>
          <w:tcPr>
            <w:tcW w:w="3486" w:type="pct"/>
            <w:noWrap/>
          </w:tcPr>
          <w:p w14:paraId="08CB10D6" w14:textId="6DE90D55" w:rsidR="00611E8C" w:rsidRPr="004F09CD" w:rsidRDefault="00D612DC" w:rsidP="00927C6C">
            <w:r w:rsidRPr="004F09CD">
              <w:t>19 – 20 Φεβρουαρίου 2025</w:t>
            </w:r>
          </w:p>
        </w:tc>
      </w:tr>
      <w:tr w:rsidR="003A251A" w:rsidRPr="004F09CD" w14:paraId="2A5AB158" w14:textId="77777777" w:rsidTr="000513FA">
        <w:tc>
          <w:tcPr>
            <w:tcW w:w="1514" w:type="pct"/>
            <w:noWrap/>
          </w:tcPr>
          <w:p w14:paraId="6360254C" w14:textId="77777777" w:rsidR="00611E8C" w:rsidRPr="004F09CD" w:rsidRDefault="00611E8C" w:rsidP="006C436A">
            <w:pPr>
              <w:jc w:val="left"/>
              <w:rPr>
                <w:b/>
              </w:rPr>
            </w:pPr>
            <w:r w:rsidRPr="004F09CD">
              <w:rPr>
                <w:b/>
              </w:rPr>
              <w:t xml:space="preserve">Παλαιότερες γνωμοδοτήσεις της </w:t>
            </w:r>
            <w:proofErr w:type="spellStart"/>
            <w:r w:rsidRPr="004F09CD">
              <w:rPr>
                <w:b/>
              </w:rPr>
              <w:t>ΕτΠ</w:t>
            </w:r>
            <w:proofErr w:type="spellEnd"/>
          </w:p>
        </w:tc>
        <w:tc>
          <w:tcPr>
            <w:tcW w:w="3486" w:type="pct"/>
            <w:noWrap/>
          </w:tcPr>
          <w:p w14:paraId="7A83B8EF" w14:textId="77777777" w:rsidR="00611E8C" w:rsidRPr="004F09CD" w:rsidRDefault="00611E8C" w:rsidP="00124EF4"/>
        </w:tc>
      </w:tr>
      <w:tr w:rsidR="003A251A" w:rsidRPr="004F09CD" w14:paraId="6D689B2C" w14:textId="77777777" w:rsidTr="000513FA">
        <w:tc>
          <w:tcPr>
            <w:tcW w:w="1514" w:type="pct"/>
            <w:noWrap/>
          </w:tcPr>
          <w:p w14:paraId="74525502" w14:textId="72A62ED2" w:rsidR="00A012A8" w:rsidRPr="004F09CD" w:rsidRDefault="000513FA" w:rsidP="006C436A">
            <w:pPr>
              <w:jc w:val="left"/>
              <w:rPr>
                <w:b/>
                <w:bCs/>
              </w:rPr>
            </w:pPr>
            <w:r w:rsidRPr="004F09CD">
              <w:rPr>
                <w:b/>
              </w:rPr>
              <w:t>Αναφορά στην επικουρικότητα</w:t>
            </w:r>
          </w:p>
        </w:tc>
        <w:tc>
          <w:tcPr>
            <w:tcW w:w="3486" w:type="pct"/>
            <w:noWrap/>
          </w:tcPr>
          <w:p w14:paraId="159417FA" w14:textId="77777777" w:rsidR="00A012A8" w:rsidRPr="004F09CD" w:rsidRDefault="00A012A8" w:rsidP="00124EF4"/>
        </w:tc>
      </w:tr>
    </w:tbl>
    <w:p w14:paraId="03423441" w14:textId="77777777" w:rsidR="00E27020" w:rsidRPr="004F09CD" w:rsidRDefault="00E27020" w:rsidP="00124EF4"/>
    <w:p w14:paraId="1F5319C6" w14:textId="77777777" w:rsidR="00A012A8" w:rsidRPr="004F09CD" w:rsidRDefault="00A012A8" w:rsidP="00124EF4">
      <w:pPr>
        <w:jc w:val="center"/>
      </w:pPr>
      <w:r w:rsidRPr="004F09CD">
        <w:t>_____________</w:t>
      </w:r>
    </w:p>
    <w:p w14:paraId="52107108" w14:textId="77777777" w:rsidR="00A012A8" w:rsidRPr="004F09CD" w:rsidRDefault="00A012A8" w:rsidP="00124EF4"/>
    <w:sectPr w:rsidR="00A012A8" w:rsidRPr="004F09CD" w:rsidSect="004F09CD">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CB32F" w14:textId="77777777" w:rsidR="00AF2308" w:rsidRDefault="00AF2308">
      <w:r>
        <w:separator/>
      </w:r>
    </w:p>
  </w:endnote>
  <w:endnote w:type="continuationSeparator" w:id="0">
    <w:p w14:paraId="45033332" w14:textId="77777777" w:rsidR="00AF2308" w:rsidRDefault="00AF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08CE" w14:textId="77777777" w:rsidR="004F09CD" w:rsidRPr="004F09CD" w:rsidRDefault="004F09CD" w:rsidP="004F09C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8CEF6" w14:textId="210E5E88" w:rsidR="006C02F1" w:rsidRPr="004F09CD" w:rsidRDefault="004F09CD" w:rsidP="004F09CD">
    <w:pPr>
      <w:pStyle w:val="a3"/>
    </w:pPr>
    <w:r>
      <w:t xml:space="preserve">COR-2024-02569-00-01-PAC-TRA (FR) </w:t>
    </w:r>
    <w:r>
      <w:fldChar w:fldCharType="begin"/>
    </w:r>
    <w:r>
      <w:instrText xml:space="preserve"> PAGE  \* Arabic  \* MERGEFORMAT </w:instrText>
    </w:r>
    <w:r>
      <w:fldChar w:fldCharType="separate"/>
    </w:r>
    <w:r>
      <w:rPr>
        <w:noProof/>
      </w:rPr>
      <w:t>1</w:t>
    </w:r>
    <w:r>
      <w:fldChar w:fldCharType="end"/>
    </w:r>
    <w:r>
      <w:t>/</w:t>
    </w:r>
    <w:r>
      <w:fldChar w:fldCharType="begin"/>
    </w:r>
    <w:r>
      <w:instrText xml:space="preserve"> = </w:instrText>
    </w:r>
    <w:r w:rsidR="00C60CA5">
      <w:rPr>
        <w:noProof/>
      </w:rPr>
      <w:fldChar w:fldCharType="begin"/>
    </w:r>
    <w:r w:rsidR="00C60CA5">
      <w:rPr>
        <w:noProof/>
      </w:rPr>
      <w:instrText xml:space="preserve"> NUMPAGES </w:instrText>
    </w:r>
    <w:r w:rsidR="00C60CA5">
      <w:rPr>
        <w:noProof/>
      </w:rPr>
      <w:fldChar w:fldCharType="separate"/>
    </w:r>
    <w:r w:rsidR="00131CA8">
      <w:rPr>
        <w:noProof/>
      </w:rPr>
      <w:instrText>10</w:instrText>
    </w:r>
    <w:r w:rsidR="00C60CA5">
      <w:rPr>
        <w:noProof/>
      </w:rPr>
      <w:fldChar w:fldCharType="end"/>
    </w:r>
    <w:r>
      <w:instrText xml:space="preserve"> -0 </w:instrText>
    </w:r>
    <w:r>
      <w:fldChar w:fldCharType="separate"/>
    </w:r>
    <w:r w:rsidR="00131CA8">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8CA3" w14:textId="77777777" w:rsidR="004F09CD" w:rsidRPr="004F09CD" w:rsidRDefault="004F09CD" w:rsidP="004F09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D56DF" w14:textId="77777777" w:rsidR="00AF2308" w:rsidRDefault="00AF2308">
      <w:r>
        <w:separator/>
      </w:r>
    </w:p>
  </w:footnote>
  <w:footnote w:type="continuationSeparator" w:id="0">
    <w:p w14:paraId="1E1579A9" w14:textId="77777777" w:rsidR="00AF2308" w:rsidRDefault="00AF2308">
      <w:r>
        <w:continuationSeparator/>
      </w:r>
    </w:p>
  </w:footnote>
  <w:footnote w:id="1">
    <w:p w14:paraId="307068DB" w14:textId="6AA75B65" w:rsidR="002C379A" w:rsidRPr="004F09CD" w:rsidRDefault="002C379A" w:rsidP="00DA6150">
      <w:pPr>
        <w:pStyle w:val="a4"/>
        <w:ind w:left="567" w:hanging="567"/>
      </w:pPr>
      <w:r w:rsidRPr="004F09CD">
        <w:rPr>
          <w:rStyle w:val="a6"/>
        </w:rPr>
        <w:footnoteRef/>
      </w:r>
      <w:r w:rsidRPr="004F09CD">
        <w:tab/>
      </w:r>
      <w:hyperlink r:id="rId1" w:history="1">
        <w:r w:rsidRPr="004F09CD">
          <w:rPr>
            <w:rStyle w:val="-"/>
          </w:rPr>
          <w:t>Νέο Ευρωπαϊκό Μπάουχαους, 2023, σ. 6</w:t>
        </w:r>
      </w:hyperlink>
      <w:r w:rsidRPr="004F09CD">
        <w:t>.</w:t>
      </w:r>
    </w:p>
  </w:footnote>
  <w:footnote w:id="2">
    <w:p w14:paraId="379DF4A6" w14:textId="4BBEC123" w:rsidR="00AD1119" w:rsidRPr="004F09CD" w:rsidRDefault="00AD1119" w:rsidP="00DA6150">
      <w:pPr>
        <w:pStyle w:val="a4"/>
        <w:ind w:left="567" w:hanging="567"/>
      </w:pPr>
      <w:r w:rsidRPr="004F09CD">
        <w:rPr>
          <w:rStyle w:val="a6"/>
        </w:rPr>
        <w:footnoteRef/>
      </w:r>
      <w:r w:rsidRPr="004F09CD">
        <w:tab/>
      </w:r>
      <w:hyperlink r:id="rId2" w:history="1">
        <w:proofErr w:type="spellStart"/>
        <w:r w:rsidRPr="004F09CD">
          <w:rPr>
            <w:rStyle w:val="-"/>
          </w:rPr>
          <w:t>Perpiña</w:t>
        </w:r>
        <w:proofErr w:type="spellEnd"/>
        <w:r w:rsidRPr="004F09CD">
          <w:rPr>
            <w:rStyle w:val="-"/>
          </w:rPr>
          <w:t xml:space="preserve"> </w:t>
        </w:r>
        <w:proofErr w:type="spellStart"/>
        <w:r w:rsidRPr="004F09CD">
          <w:rPr>
            <w:rStyle w:val="-"/>
          </w:rPr>
          <w:t>Castillo</w:t>
        </w:r>
        <w:proofErr w:type="spellEnd"/>
        <w:r w:rsidRPr="004F09CD">
          <w:rPr>
            <w:rStyle w:val="-"/>
          </w:rPr>
          <w:t xml:space="preserve">, C., </w:t>
        </w:r>
        <w:proofErr w:type="spellStart"/>
        <w:r w:rsidRPr="004F09CD">
          <w:rPr>
            <w:rStyle w:val="-"/>
          </w:rPr>
          <w:t>Jacobs-Crisioni</w:t>
        </w:r>
        <w:proofErr w:type="spellEnd"/>
        <w:r w:rsidRPr="004F09CD">
          <w:rPr>
            <w:rStyle w:val="-"/>
          </w:rPr>
          <w:t xml:space="preserve">, C., </w:t>
        </w:r>
        <w:proofErr w:type="spellStart"/>
        <w:r w:rsidRPr="004F09CD">
          <w:rPr>
            <w:rStyle w:val="-"/>
          </w:rPr>
          <w:t>Barranco</w:t>
        </w:r>
        <w:proofErr w:type="spellEnd"/>
        <w:r w:rsidRPr="004F09CD">
          <w:rPr>
            <w:rStyle w:val="-"/>
          </w:rPr>
          <w:t xml:space="preserve">, R., </w:t>
        </w:r>
        <w:proofErr w:type="spellStart"/>
        <w:r w:rsidRPr="004F09CD">
          <w:rPr>
            <w:rStyle w:val="-"/>
          </w:rPr>
          <w:t>Curtale</w:t>
        </w:r>
        <w:proofErr w:type="spellEnd"/>
        <w:r w:rsidRPr="004F09CD">
          <w:rPr>
            <w:rStyle w:val="-"/>
          </w:rPr>
          <w:t xml:space="preserve">, R., </w:t>
        </w:r>
        <w:proofErr w:type="spellStart"/>
        <w:r w:rsidRPr="004F09CD">
          <w:rPr>
            <w:rStyle w:val="-"/>
          </w:rPr>
          <w:t>Kompil</w:t>
        </w:r>
        <w:proofErr w:type="spellEnd"/>
        <w:r w:rsidRPr="004F09CD">
          <w:rPr>
            <w:rStyle w:val="-"/>
          </w:rPr>
          <w:t xml:space="preserve">, M., </w:t>
        </w:r>
        <w:proofErr w:type="spellStart"/>
        <w:r w:rsidRPr="004F09CD">
          <w:rPr>
            <w:rStyle w:val="-"/>
          </w:rPr>
          <w:t>Vallecillo</w:t>
        </w:r>
        <w:proofErr w:type="spellEnd"/>
        <w:r w:rsidRPr="004F09CD">
          <w:rPr>
            <w:rStyle w:val="-"/>
          </w:rPr>
          <w:t xml:space="preserve">, S., </w:t>
        </w:r>
        <w:proofErr w:type="spellStart"/>
        <w:r w:rsidRPr="004F09CD">
          <w:rPr>
            <w:rStyle w:val="-"/>
          </w:rPr>
          <w:t>Auteri</w:t>
        </w:r>
        <w:proofErr w:type="spellEnd"/>
        <w:r w:rsidRPr="004F09CD">
          <w:rPr>
            <w:rStyle w:val="-"/>
          </w:rPr>
          <w:t xml:space="preserve">, D. </w:t>
        </w:r>
        <w:proofErr w:type="spellStart"/>
        <w:r w:rsidRPr="004F09CD">
          <w:rPr>
            <w:rStyle w:val="-"/>
          </w:rPr>
          <w:t>et</w:t>
        </w:r>
        <w:proofErr w:type="spellEnd"/>
        <w:r w:rsidRPr="004F09CD">
          <w:rPr>
            <w:rStyle w:val="-"/>
          </w:rPr>
          <w:t xml:space="preserve"> </w:t>
        </w:r>
        <w:proofErr w:type="spellStart"/>
        <w:r w:rsidRPr="004F09CD">
          <w:rPr>
            <w:rStyle w:val="-"/>
          </w:rPr>
          <w:t>Dijkstra</w:t>
        </w:r>
        <w:proofErr w:type="spellEnd"/>
        <w:r w:rsidRPr="004F09CD">
          <w:rPr>
            <w:rStyle w:val="-"/>
          </w:rPr>
          <w:t xml:space="preserve">, L., </w:t>
        </w:r>
        <w:proofErr w:type="spellStart"/>
        <w:r w:rsidRPr="004F09CD">
          <w:rPr>
            <w:rStyle w:val="-"/>
            <w:i/>
          </w:rPr>
          <w:t>Opportunities</w:t>
        </w:r>
        <w:proofErr w:type="spellEnd"/>
        <w:r w:rsidRPr="004F09CD">
          <w:rPr>
            <w:rStyle w:val="-"/>
            <w:i/>
          </w:rPr>
          <w:t xml:space="preserve"> and </w:t>
        </w:r>
        <w:proofErr w:type="spellStart"/>
        <w:r w:rsidRPr="004F09CD">
          <w:rPr>
            <w:rStyle w:val="-"/>
            <w:i/>
          </w:rPr>
          <w:t>challenges</w:t>
        </w:r>
        <w:proofErr w:type="spellEnd"/>
        <w:r w:rsidRPr="004F09CD">
          <w:rPr>
            <w:rStyle w:val="-"/>
            <w:i/>
          </w:rPr>
          <w:t xml:space="preserve"> for </w:t>
        </w:r>
        <w:proofErr w:type="spellStart"/>
        <w:r w:rsidRPr="004F09CD">
          <w:rPr>
            <w:rStyle w:val="-"/>
            <w:i/>
          </w:rPr>
          <w:t>remote</w:t>
        </w:r>
        <w:proofErr w:type="spellEnd"/>
        <w:r w:rsidRPr="004F09CD">
          <w:rPr>
            <w:rStyle w:val="-"/>
            <w:i/>
          </w:rPr>
          <w:t xml:space="preserve"> </w:t>
        </w:r>
        <w:proofErr w:type="spellStart"/>
        <w:r w:rsidRPr="004F09CD">
          <w:rPr>
            <w:rStyle w:val="-"/>
            <w:i/>
          </w:rPr>
          <w:t>rural</w:t>
        </w:r>
        <w:proofErr w:type="spellEnd"/>
        <w:r w:rsidRPr="004F09CD">
          <w:rPr>
            <w:rStyle w:val="-"/>
            <w:i/>
          </w:rPr>
          <w:t xml:space="preserve"> </w:t>
        </w:r>
        <w:proofErr w:type="spellStart"/>
        <w:r w:rsidRPr="004F09CD">
          <w:rPr>
            <w:rStyle w:val="-"/>
            <w:i/>
          </w:rPr>
          <w:t>areas</w:t>
        </w:r>
        <w:proofErr w:type="spellEnd"/>
        <w:r w:rsidRPr="004F09CD">
          <w:rPr>
            <w:rStyle w:val="-"/>
            <w:i/>
          </w:rPr>
          <w:t xml:space="preserve"> in the European Union </w:t>
        </w:r>
        <w:r w:rsidRPr="004F09CD">
          <w:rPr>
            <w:rStyle w:val="-"/>
          </w:rPr>
          <w:t>[Ευκαιρίες και προκλήσεις για τις απομακρυσμένες αγροτικές περιοχές στην Ευρωπαϊκή Ένωση]</w:t>
        </w:r>
        <w:r w:rsidRPr="004F09CD">
          <w:rPr>
            <w:rStyle w:val="-"/>
            <w:i/>
          </w:rPr>
          <w:t xml:space="preserve">, </w:t>
        </w:r>
        <w:r w:rsidRPr="004F09CD">
          <w:rPr>
            <w:rStyle w:val="-"/>
          </w:rPr>
          <w:t xml:space="preserve">Ευρωπαϊκή Επιτροπή, </w:t>
        </w:r>
        <w:proofErr w:type="spellStart"/>
        <w:r w:rsidRPr="004F09CD">
          <w:rPr>
            <w:rStyle w:val="-"/>
          </w:rPr>
          <w:t>Ispra</w:t>
        </w:r>
        <w:proofErr w:type="spellEnd"/>
        <w:r w:rsidRPr="004F09CD">
          <w:rPr>
            <w:rStyle w:val="-"/>
          </w:rPr>
          <w:t>, 2023, JRC135398;</w:t>
        </w:r>
      </w:hyperlink>
      <w:r w:rsidRPr="004F09CD">
        <w:t xml:space="preserve"> </w:t>
      </w:r>
      <w:hyperlink r:id="rId3" w:history="1">
        <w:proofErr w:type="spellStart"/>
        <w:r w:rsidRPr="004F09CD">
          <w:rPr>
            <w:rStyle w:val="-"/>
          </w:rPr>
          <w:t>Vilcu</w:t>
        </w:r>
        <w:proofErr w:type="spellEnd"/>
        <w:r w:rsidRPr="004F09CD">
          <w:rPr>
            <w:rStyle w:val="-"/>
          </w:rPr>
          <w:t xml:space="preserve">, R., </w:t>
        </w:r>
        <w:proofErr w:type="spellStart"/>
        <w:r w:rsidRPr="004F09CD">
          <w:rPr>
            <w:rStyle w:val="-"/>
          </w:rPr>
          <w:t>Van</w:t>
        </w:r>
        <w:proofErr w:type="spellEnd"/>
        <w:r w:rsidRPr="004F09CD">
          <w:rPr>
            <w:rStyle w:val="-"/>
          </w:rPr>
          <w:t xml:space="preserve"> </w:t>
        </w:r>
        <w:proofErr w:type="spellStart"/>
        <w:r w:rsidRPr="004F09CD">
          <w:rPr>
            <w:rStyle w:val="-"/>
          </w:rPr>
          <w:t>den</w:t>
        </w:r>
        <w:proofErr w:type="spellEnd"/>
        <w:r w:rsidRPr="004F09CD">
          <w:rPr>
            <w:rStyle w:val="-"/>
          </w:rPr>
          <w:t xml:space="preserve"> </w:t>
        </w:r>
        <w:proofErr w:type="spellStart"/>
        <w:r w:rsidRPr="004F09CD">
          <w:rPr>
            <w:rStyle w:val="-"/>
          </w:rPr>
          <w:t>Bossche</w:t>
        </w:r>
        <w:proofErr w:type="spellEnd"/>
        <w:r w:rsidRPr="004F09CD">
          <w:rPr>
            <w:rStyle w:val="-"/>
          </w:rPr>
          <w:t xml:space="preserve">, L., </w:t>
        </w:r>
        <w:proofErr w:type="spellStart"/>
        <w:r w:rsidRPr="004F09CD">
          <w:rPr>
            <w:rStyle w:val="-"/>
          </w:rPr>
          <w:t>Altman</w:t>
        </w:r>
        <w:proofErr w:type="spellEnd"/>
        <w:r w:rsidRPr="004F09CD">
          <w:rPr>
            <w:rStyle w:val="-"/>
          </w:rPr>
          <w:t xml:space="preserve">, N., </w:t>
        </w:r>
        <w:proofErr w:type="spellStart"/>
        <w:r w:rsidRPr="004F09CD">
          <w:rPr>
            <w:rStyle w:val="-"/>
          </w:rPr>
          <w:t>Ziegler</w:t>
        </w:r>
        <w:proofErr w:type="spellEnd"/>
        <w:r w:rsidRPr="004F09CD">
          <w:rPr>
            <w:rStyle w:val="-"/>
          </w:rPr>
          <w:t xml:space="preserve">, V., </w:t>
        </w:r>
        <w:proofErr w:type="spellStart"/>
        <w:r w:rsidRPr="004F09CD">
          <w:rPr>
            <w:rStyle w:val="-"/>
          </w:rPr>
          <w:t>Salle</w:t>
        </w:r>
        <w:proofErr w:type="spellEnd"/>
        <w:r w:rsidRPr="004F09CD">
          <w:rPr>
            <w:rStyle w:val="-"/>
          </w:rPr>
          <w:t xml:space="preserve">, E., </w:t>
        </w:r>
        <w:proofErr w:type="spellStart"/>
        <w:r w:rsidRPr="004F09CD">
          <w:rPr>
            <w:rStyle w:val="-"/>
          </w:rPr>
          <w:t>Zomer</w:t>
        </w:r>
        <w:proofErr w:type="spellEnd"/>
        <w:r w:rsidRPr="004F09CD">
          <w:rPr>
            <w:rStyle w:val="-"/>
          </w:rPr>
          <w:t xml:space="preserve">, B. (2023); </w:t>
        </w:r>
        <w:proofErr w:type="spellStart"/>
        <w:r w:rsidRPr="004F09CD">
          <w:rPr>
            <w:rStyle w:val="-"/>
            <w:i/>
          </w:rPr>
          <w:t>Empowering</w:t>
        </w:r>
        <w:proofErr w:type="spellEnd"/>
        <w:r w:rsidRPr="004F09CD">
          <w:rPr>
            <w:rStyle w:val="-"/>
            <w:i/>
          </w:rPr>
          <w:t xml:space="preserve"> </w:t>
        </w:r>
        <w:proofErr w:type="spellStart"/>
        <w:r w:rsidRPr="004F09CD">
          <w:rPr>
            <w:rStyle w:val="-"/>
            <w:i/>
          </w:rPr>
          <w:t>rural</w:t>
        </w:r>
        <w:proofErr w:type="spellEnd"/>
        <w:r w:rsidRPr="004F09CD">
          <w:rPr>
            <w:rStyle w:val="-"/>
            <w:i/>
          </w:rPr>
          <w:t xml:space="preserve"> </w:t>
        </w:r>
        <w:proofErr w:type="spellStart"/>
        <w:r w:rsidRPr="004F09CD">
          <w:rPr>
            <w:rStyle w:val="-"/>
            <w:i/>
          </w:rPr>
          <w:t>areas</w:t>
        </w:r>
        <w:proofErr w:type="spellEnd"/>
        <w:r w:rsidRPr="004F09CD">
          <w:rPr>
            <w:rStyle w:val="-"/>
            <w:i/>
          </w:rPr>
          <w:t xml:space="preserve"> in </w:t>
        </w:r>
        <w:proofErr w:type="spellStart"/>
        <w:r w:rsidRPr="004F09CD">
          <w:rPr>
            <w:rStyle w:val="-"/>
            <w:i/>
          </w:rPr>
          <w:t>multi-level</w:t>
        </w:r>
        <w:proofErr w:type="spellEnd"/>
        <w:r w:rsidRPr="004F09CD">
          <w:rPr>
            <w:rStyle w:val="-"/>
            <w:i/>
          </w:rPr>
          <w:t xml:space="preserve"> </w:t>
        </w:r>
        <w:proofErr w:type="spellStart"/>
        <w:r w:rsidRPr="004F09CD">
          <w:rPr>
            <w:rStyle w:val="-"/>
            <w:i/>
          </w:rPr>
          <w:t>governance</w:t>
        </w:r>
        <w:proofErr w:type="spellEnd"/>
        <w:r w:rsidRPr="004F09CD">
          <w:rPr>
            <w:rStyle w:val="-"/>
            <w:i/>
          </w:rPr>
          <w:t xml:space="preserve"> </w:t>
        </w:r>
        <w:proofErr w:type="spellStart"/>
        <w:r w:rsidRPr="004F09CD">
          <w:rPr>
            <w:rStyle w:val="-"/>
            <w:i/>
          </w:rPr>
          <w:t>processes</w:t>
        </w:r>
        <w:proofErr w:type="spellEnd"/>
        <w:r w:rsidRPr="004F09CD">
          <w:rPr>
            <w:rStyle w:val="-"/>
            <w:i/>
          </w:rPr>
          <w:t xml:space="preserve"> </w:t>
        </w:r>
        <w:r w:rsidRPr="004F09CD">
          <w:rPr>
            <w:rStyle w:val="-"/>
          </w:rPr>
          <w:t xml:space="preserve">[Ενίσχυση της συμμετοχής των αγροτικών περιοχών στις διαδικασίες </w:t>
        </w:r>
        <w:proofErr w:type="spellStart"/>
        <w:r w:rsidRPr="004F09CD">
          <w:rPr>
            <w:rStyle w:val="-"/>
          </w:rPr>
          <w:t>πολυεπίπεδης</w:t>
        </w:r>
        <w:proofErr w:type="spellEnd"/>
        <w:r w:rsidRPr="004F09CD">
          <w:rPr>
            <w:rStyle w:val="-"/>
          </w:rPr>
          <w:t xml:space="preserve"> διακυβέρνησης].</w:t>
        </w:r>
      </w:hyperlink>
      <w:hyperlink r:id="rId4" w:history="1">
        <w:r w:rsidRPr="004F09CD">
          <w:rPr>
            <w:rStyle w:val="-"/>
          </w:rPr>
          <w:t xml:space="preserve"> Έγγραφο θέσης του έργου SHERPA</w:t>
        </w:r>
      </w:hyperlink>
      <w:r w:rsidRPr="004F09CD">
        <w:t>.</w:t>
      </w:r>
    </w:p>
  </w:footnote>
  <w:footnote w:id="3">
    <w:p w14:paraId="5F161C39" w14:textId="303839BD" w:rsidR="00BB2D35" w:rsidRPr="004F09CD" w:rsidRDefault="00BB2D35" w:rsidP="00DA6150">
      <w:pPr>
        <w:pStyle w:val="a4"/>
        <w:ind w:left="567" w:hanging="567"/>
      </w:pPr>
      <w:r w:rsidRPr="004F09CD">
        <w:rPr>
          <w:rStyle w:val="a6"/>
        </w:rPr>
        <w:footnoteRef/>
      </w:r>
      <w:r w:rsidRPr="004F09CD">
        <w:tab/>
      </w:r>
      <w:r w:rsidRPr="004F09CD">
        <w:t xml:space="preserve">Ευρωπαϊκή Επιτροπή, Γενική Διεύθυνση Γεωργίας και Αγροτικής Ανάπτυξης, </w:t>
      </w:r>
      <w:proofErr w:type="spellStart"/>
      <w:r w:rsidRPr="004F09CD">
        <w:rPr>
          <w:i/>
        </w:rPr>
        <w:t>Evaluation</w:t>
      </w:r>
      <w:proofErr w:type="spellEnd"/>
      <w:r w:rsidRPr="004F09CD">
        <w:rPr>
          <w:i/>
        </w:rPr>
        <w:t xml:space="preserve"> on the </w:t>
      </w:r>
      <w:proofErr w:type="spellStart"/>
      <w:r w:rsidRPr="004F09CD">
        <w:rPr>
          <w:i/>
        </w:rPr>
        <w:t>impact</w:t>
      </w:r>
      <w:proofErr w:type="spellEnd"/>
      <w:r w:rsidRPr="004F09CD">
        <w:rPr>
          <w:i/>
        </w:rPr>
        <w:t xml:space="preserve"> of LEADER on </w:t>
      </w:r>
      <w:proofErr w:type="spellStart"/>
      <w:r w:rsidRPr="004F09CD">
        <w:rPr>
          <w:i/>
        </w:rPr>
        <w:t>Balanced</w:t>
      </w:r>
      <w:proofErr w:type="spellEnd"/>
      <w:r w:rsidRPr="004F09CD">
        <w:rPr>
          <w:i/>
        </w:rPr>
        <w:t xml:space="preserve"> </w:t>
      </w:r>
      <w:proofErr w:type="spellStart"/>
      <w:r w:rsidRPr="004F09CD">
        <w:rPr>
          <w:i/>
        </w:rPr>
        <w:t>Territorial</w:t>
      </w:r>
      <w:proofErr w:type="spellEnd"/>
      <w:r w:rsidRPr="004F09CD">
        <w:rPr>
          <w:i/>
        </w:rPr>
        <w:t xml:space="preserve"> Development </w:t>
      </w:r>
      <w:r w:rsidRPr="004F09CD">
        <w:t xml:space="preserve">[Αξιολόγηση της επίδρασης της LEADER στην ισόρροπη ανάπτυξη των αγροτικών περιοχών], 2024: </w:t>
      </w:r>
      <w:hyperlink r:id="rId5" w:history="1">
        <w:r w:rsidRPr="004F09CD">
          <w:rPr>
            <w:rStyle w:val="-"/>
          </w:rPr>
          <w:t>https://agriculture.ec.europa.eu/common-agricultural-policy/cap-overview/cmef/rural-areas/evaluation-impact-leader-balanced-territorial-development_en</w:t>
        </w:r>
      </w:hyperlink>
      <w:r w:rsidRPr="004F09CD">
        <w:t>.</w:t>
      </w:r>
    </w:p>
    <w:p w14:paraId="63928B25" w14:textId="780BD236" w:rsidR="00214B73" w:rsidRPr="004F09CD" w:rsidRDefault="00701D9F" w:rsidP="00DA6150">
      <w:pPr>
        <w:pStyle w:val="a4"/>
        <w:ind w:left="567" w:firstLine="0"/>
        <w:rPr>
          <w:rStyle w:val="-"/>
          <w:b/>
          <w:bCs/>
        </w:rPr>
      </w:pPr>
      <w:r w:rsidRPr="004F09CD">
        <w:t xml:space="preserve">Ευρωπαϊκή Επιτροπή, Γενική Διεύθυνση Γεωργίας και Αγροτικής Ανάπτυξης, </w:t>
      </w:r>
      <w:proofErr w:type="spellStart"/>
      <w:r w:rsidRPr="004F09CD">
        <w:t>Münch</w:t>
      </w:r>
      <w:proofErr w:type="spellEnd"/>
      <w:r w:rsidRPr="004F09CD">
        <w:t xml:space="preserve">, A., </w:t>
      </w:r>
      <w:proofErr w:type="spellStart"/>
      <w:r w:rsidRPr="004F09CD">
        <w:t>Gorny</w:t>
      </w:r>
      <w:proofErr w:type="spellEnd"/>
      <w:r w:rsidRPr="004F09CD">
        <w:t xml:space="preserve">, H., </w:t>
      </w:r>
      <w:proofErr w:type="spellStart"/>
      <w:r w:rsidRPr="004F09CD">
        <w:t>Badouix</w:t>
      </w:r>
      <w:proofErr w:type="spellEnd"/>
      <w:r w:rsidRPr="004F09CD">
        <w:t xml:space="preserve">, M., </w:t>
      </w:r>
      <w:proofErr w:type="spellStart"/>
      <w:r w:rsidRPr="004F09CD">
        <w:t>Gaugitsch</w:t>
      </w:r>
      <w:proofErr w:type="spellEnd"/>
      <w:r w:rsidRPr="004F09CD">
        <w:t xml:space="preserve">, R. κ.ά., </w:t>
      </w:r>
      <w:proofErr w:type="spellStart"/>
      <w:r w:rsidRPr="004F09CD">
        <w:rPr>
          <w:i/>
        </w:rPr>
        <w:t>Study</w:t>
      </w:r>
      <w:proofErr w:type="spellEnd"/>
      <w:r w:rsidRPr="004F09CD">
        <w:rPr>
          <w:i/>
        </w:rPr>
        <w:t xml:space="preserve"> on </w:t>
      </w:r>
      <w:proofErr w:type="spellStart"/>
      <w:r w:rsidRPr="004F09CD">
        <w:rPr>
          <w:i/>
        </w:rPr>
        <w:t>funding</w:t>
      </w:r>
      <w:proofErr w:type="spellEnd"/>
      <w:r w:rsidRPr="004F09CD">
        <w:rPr>
          <w:i/>
        </w:rPr>
        <w:t xml:space="preserve"> for EU </w:t>
      </w:r>
      <w:proofErr w:type="spellStart"/>
      <w:r w:rsidRPr="004F09CD">
        <w:rPr>
          <w:i/>
        </w:rPr>
        <w:t>rural</w:t>
      </w:r>
      <w:proofErr w:type="spellEnd"/>
      <w:r w:rsidRPr="004F09CD">
        <w:rPr>
          <w:i/>
        </w:rPr>
        <w:t xml:space="preserve"> </w:t>
      </w:r>
      <w:proofErr w:type="spellStart"/>
      <w:r w:rsidRPr="004F09CD">
        <w:rPr>
          <w:i/>
        </w:rPr>
        <w:t>areas</w:t>
      </w:r>
      <w:proofErr w:type="spellEnd"/>
      <w:r w:rsidRPr="004F09CD">
        <w:rPr>
          <w:i/>
        </w:rPr>
        <w:t xml:space="preserve"> – </w:t>
      </w:r>
      <w:proofErr w:type="spellStart"/>
      <w:r w:rsidRPr="004F09CD">
        <w:rPr>
          <w:i/>
        </w:rPr>
        <w:t>Final</w:t>
      </w:r>
      <w:proofErr w:type="spellEnd"/>
      <w:r w:rsidRPr="004F09CD">
        <w:rPr>
          <w:i/>
        </w:rPr>
        <w:t xml:space="preserve"> </w:t>
      </w:r>
      <w:proofErr w:type="spellStart"/>
      <w:r w:rsidRPr="004F09CD">
        <w:rPr>
          <w:i/>
        </w:rPr>
        <w:t>report</w:t>
      </w:r>
      <w:proofErr w:type="spellEnd"/>
      <w:r w:rsidRPr="004F09CD">
        <w:t xml:space="preserve"> [Μελέτη σχετικά με τη χρηματοδότηση των αγροτικών περιοχών της ΕΕ, τελική έκθεση], Υπηρεσία Εκδόσεων της Ευρωπαϊκής Ένωσης, 2024, </w:t>
      </w:r>
      <w:hyperlink r:id="rId6" w:tgtFrame="_blank" w:history="1">
        <w:r w:rsidRPr="004F09CD">
          <w:rPr>
            <w:rStyle w:val="-"/>
            <w:b/>
          </w:rPr>
          <w:t>https://data.europa.eu/doi/10.2762/901111</w:t>
        </w:r>
      </w:hyperlink>
      <w:r w:rsidRPr="004F09CD">
        <w:t>.</w:t>
      </w:r>
    </w:p>
    <w:p w14:paraId="053E7131" w14:textId="3A207F9E" w:rsidR="00AD1119" w:rsidRPr="004F09CD" w:rsidRDefault="00701D9F" w:rsidP="00DA6150">
      <w:pPr>
        <w:pStyle w:val="a4"/>
        <w:ind w:left="567" w:firstLine="0"/>
      </w:pPr>
      <w:r w:rsidRPr="004F09CD">
        <w:t xml:space="preserve">Ευρωπαϊκή Επιτροπή, Γενική Διεύθυνση Γεωργίας και Αγροτικής Ανάπτυξης, έγγραφο εργασίας των υπηρεσιών της Ευρωπαϊκής Επιτροπής, </w:t>
      </w:r>
      <w:hyperlink r:id="rId7" w:history="1">
        <w:r w:rsidRPr="004F09CD">
          <w:rPr>
            <w:rStyle w:val="-"/>
          </w:rPr>
          <w:t>Έγγραφο εργασίας των υπηρεσιών της Επιτροπής που συνοδεύει το έγγραφο «Ανακοίνωση της Επιτροπής προς το Ευρωπαϊκό Κοινοβούλιο, το Συμβούλιο, την Ευρωπαϊκή Οικονομική και Κοινωνική Επιτροπή και την Επιτροπή των Περιφερειών σχετικά με την 9η έκθεση για τη συνοχή»</w:t>
        </w:r>
      </w:hyperlink>
      <w:r w:rsidRPr="004F09CD">
        <w:t xml:space="preserve"> [</w:t>
      </w:r>
      <w:proofErr w:type="spellStart"/>
      <w:r w:rsidRPr="004F09CD">
        <w:t>Σ.τ.Μ</w:t>
      </w:r>
      <w:proofErr w:type="spellEnd"/>
      <w:r w:rsidRPr="004F09CD">
        <w:t>. μη διαθέσιμο στα ελληνικά].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086A" w14:textId="77777777" w:rsidR="004F09CD" w:rsidRPr="004F09CD" w:rsidRDefault="004F09CD" w:rsidP="004F09C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7387" w14:textId="77777777" w:rsidR="004F09CD" w:rsidRPr="004F09CD" w:rsidRDefault="004F09CD" w:rsidP="004F09C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451E" w14:textId="77777777" w:rsidR="004F09CD" w:rsidRPr="004F09CD" w:rsidRDefault="004F09CD" w:rsidP="004F09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8DA679E8"/>
    <w:lvl w:ilvl="0">
      <w:start w:val="1"/>
      <w:numFmt w:val="decimal"/>
      <w:pStyle w:val="1"/>
      <w:lvlText w:val="%1."/>
      <w:legacy w:legacy="1" w:legacySpace="0" w:legacyIndent="0"/>
      <w:lvlJc w:val="left"/>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15:restartNumberingAfterBreak="0">
    <w:nsid w:val="02867C68"/>
    <w:multiLevelType w:val="hybridMultilevel"/>
    <w:tmpl w:val="547A2DE6"/>
    <w:lvl w:ilvl="0" w:tplc="040C000F">
      <w:start w:val="1"/>
      <w:numFmt w:val="decimal"/>
      <w:lvlText w:val="%1."/>
      <w:lvlJc w:val="left"/>
      <w:pPr>
        <w:ind w:left="720" w:hanging="360"/>
      </w:pPr>
    </w:lvl>
    <w:lvl w:ilvl="1" w:tplc="7D6E8146">
      <w:start w:val="1"/>
      <mc:AlternateContent>
        <mc:Choice Requires="w14">
          <w:numFmt w:val="custom" w:format="α, β, γ, ..."/>
        </mc:Choice>
        <mc:Fallback>
          <w:numFmt w:val="decimal"/>
        </mc:Fallback>
      </mc:AlternateContent>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D60063D4" w:tentative="1">
      <w:start w:val="1"/>
      <mc:AlternateContent>
        <mc:Choice Requires="w14">
          <w:numFmt w:val="custom" w:format="α, β, γ, ..."/>
        </mc:Choice>
        <mc:Fallback>
          <w:numFmt w:val="decimal"/>
        </mc:Fallback>
      </mc:AlternateContent>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48266456" w:tentative="1">
      <w:start w:val="1"/>
      <mc:AlternateContent>
        <mc:Choice Requires="w14">
          <w:numFmt w:val="custom" w:format="α, β, γ, ..."/>
        </mc:Choice>
        <mc:Fallback>
          <w:numFmt w:val="decimal"/>
        </mc:Fallback>
      </mc:AlternateContent>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807458"/>
    <w:multiLevelType w:val="multilevel"/>
    <w:tmpl w:val="699CF764"/>
    <w:lvl w:ilvl="0">
      <w:start w:val="1"/>
      <w:numFmt w:val="decimal"/>
      <w:lvlText w:val="%1."/>
      <w:lvlJc w:val="left"/>
      <w:pPr>
        <w:ind w:left="720" w:hanging="360"/>
      </w:pPr>
    </w:lvl>
    <w:lvl w:ilvl="1">
      <w:start w:val="1"/>
      <mc:AlternateContent>
        <mc:Choice Requires="w14">
          <w:numFmt w:val="custom" w:format="α, β, γ, ..."/>
        </mc:Choice>
        <mc:Fallback>
          <w:numFmt w:val="decimal"/>
        </mc:Fallback>
      </mc:AlternateConten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mc:AlternateContent>
        <mc:Choice Requires="w14">
          <w:numFmt w:val="custom" w:format="α, β, γ, ..."/>
        </mc:Choice>
        <mc:Fallback>
          <w:numFmt w:val="decimal"/>
        </mc:Fallback>
      </mc:AlternateContent>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mc:AlternateContent>
        <mc:Choice Requires="w14">
          <w:numFmt w:val="custom" w:format="α, β, γ, ..."/>
        </mc:Choice>
        <mc:Fallback>
          <w:numFmt w:val="decimal"/>
        </mc:Fallback>
      </mc:AlternateContent>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3B2A5"/>
    <w:multiLevelType w:val="hybridMultilevel"/>
    <w:tmpl w:val="B5062088"/>
    <w:lvl w:ilvl="0" w:tplc="1932F762">
      <w:start w:val="1"/>
      <w:numFmt w:val="bullet"/>
      <w:lvlText w:val=""/>
      <w:lvlJc w:val="left"/>
      <w:pPr>
        <w:ind w:left="720" w:hanging="360"/>
      </w:pPr>
      <w:rPr>
        <w:rFonts w:ascii="Symbol" w:hAnsi="Symbol" w:hint="default"/>
      </w:rPr>
    </w:lvl>
    <w:lvl w:ilvl="1" w:tplc="37F6410A">
      <w:start w:val="1"/>
      <w:numFmt w:val="bullet"/>
      <w:lvlText w:val="o"/>
      <w:lvlJc w:val="left"/>
      <w:pPr>
        <w:ind w:left="1440" w:hanging="360"/>
      </w:pPr>
      <w:rPr>
        <w:rFonts w:ascii="Courier New" w:hAnsi="Courier New" w:hint="default"/>
      </w:rPr>
    </w:lvl>
    <w:lvl w:ilvl="2" w:tplc="A81E35C8">
      <w:start w:val="1"/>
      <w:numFmt w:val="bullet"/>
      <w:lvlText w:val=""/>
      <w:lvlJc w:val="left"/>
      <w:pPr>
        <w:ind w:left="2160" w:hanging="360"/>
      </w:pPr>
      <w:rPr>
        <w:rFonts w:ascii="Wingdings" w:hAnsi="Wingdings" w:hint="default"/>
      </w:rPr>
    </w:lvl>
    <w:lvl w:ilvl="3" w:tplc="8BFCCC48">
      <w:start w:val="1"/>
      <w:numFmt w:val="bullet"/>
      <w:lvlText w:val=""/>
      <w:lvlJc w:val="left"/>
      <w:pPr>
        <w:ind w:left="2880" w:hanging="360"/>
      </w:pPr>
      <w:rPr>
        <w:rFonts w:ascii="Symbol" w:hAnsi="Symbol" w:hint="default"/>
      </w:rPr>
    </w:lvl>
    <w:lvl w:ilvl="4" w:tplc="82B27EDA">
      <w:start w:val="1"/>
      <w:numFmt w:val="bullet"/>
      <w:lvlText w:val="o"/>
      <w:lvlJc w:val="left"/>
      <w:pPr>
        <w:ind w:left="3600" w:hanging="360"/>
      </w:pPr>
      <w:rPr>
        <w:rFonts w:ascii="Courier New" w:hAnsi="Courier New" w:hint="default"/>
      </w:rPr>
    </w:lvl>
    <w:lvl w:ilvl="5" w:tplc="D0027888">
      <w:start w:val="1"/>
      <w:numFmt w:val="bullet"/>
      <w:lvlText w:val=""/>
      <w:lvlJc w:val="left"/>
      <w:pPr>
        <w:ind w:left="4320" w:hanging="360"/>
      </w:pPr>
      <w:rPr>
        <w:rFonts w:ascii="Wingdings" w:hAnsi="Wingdings" w:hint="default"/>
      </w:rPr>
    </w:lvl>
    <w:lvl w:ilvl="6" w:tplc="9258A096">
      <w:start w:val="1"/>
      <w:numFmt w:val="bullet"/>
      <w:lvlText w:val=""/>
      <w:lvlJc w:val="left"/>
      <w:pPr>
        <w:ind w:left="5040" w:hanging="360"/>
      </w:pPr>
      <w:rPr>
        <w:rFonts w:ascii="Symbol" w:hAnsi="Symbol" w:hint="default"/>
      </w:rPr>
    </w:lvl>
    <w:lvl w:ilvl="7" w:tplc="103E8A2A">
      <w:start w:val="1"/>
      <w:numFmt w:val="bullet"/>
      <w:lvlText w:val="o"/>
      <w:lvlJc w:val="left"/>
      <w:pPr>
        <w:ind w:left="5760" w:hanging="360"/>
      </w:pPr>
      <w:rPr>
        <w:rFonts w:ascii="Courier New" w:hAnsi="Courier New" w:hint="default"/>
      </w:rPr>
    </w:lvl>
    <w:lvl w:ilvl="8" w:tplc="03FE6F4A">
      <w:start w:val="1"/>
      <w:numFmt w:val="bullet"/>
      <w:lvlText w:val=""/>
      <w:lvlJc w:val="left"/>
      <w:pPr>
        <w:ind w:left="6480" w:hanging="360"/>
      </w:pPr>
      <w:rPr>
        <w:rFonts w:ascii="Wingdings" w:hAnsi="Wingdings" w:hint="default"/>
      </w:rPr>
    </w:lvl>
  </w:abstractNum>
  <w:abstractNum w:abstractNumId="4" w15:restartNumberingAfterBreak="0">
    <w:nsid w:val="1524375B"/>
    <w:multiLevelType w:val="hybridMultilevel"/>
    <w:tmpl w:val="7E36421E"/>
    <w:lvl w:ilvl="0" w:tplc="42AACCD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B71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8D5AFB"/>
    <w:multiLevelType w:val="hybridMultilevel"/>
    <w:tmpl w:val="643EFFF6"/>
    <w:lvl w:ilvl="0" w:tplc="83447096">
      <w:start w:val="1"/>
      <w:numFmt w:val="upperRoman"/>
      <w:lvlText w:val="%1."/>
      <w:lvlJc w:val="left"/>
      <w:pPr>
        <w:ind w:left="720" w:hanging="360"/>
      </w:pPr>
      <w:rPr>
        <w:b/>
        <w:i w:val="0"/>
      </w:rPr>
    </w:lvl>
    <w:lvl w:ilvl="1" w:tplc="FEE4FE0A" w:tentative="1">
      <w:start w:val="1"/>
      <mc:AlternateContent>
        <mc:Choice Requires="w14">
          <w:numFmt w:val="custom" w:format="α, β, γ, ..."/>
        </mc:Choice>
        <mc:Fallback>
          <w:numFmt w:val="decimal"/>
        </mc:Fallback>
      </mc:AlternateConten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187EED2C" w:tentative="1">
      <w:start w:val="1"/>
      <mc:AlternateContent>
        <mc:Choice Requires="w14">
          <w:numFmt w:val="custom" w:format="α, β, γ, ..."/>
        </mc:Choice>
        <mc:Fallback>
          <w:numFmt w:val="decimal"/>
        </mc:Fallback>
      </mc:AlternateContent>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669AD6" w:tentative="1">
      <w:start w:val="1"/>
      <mc:AlternateContent>
        <mc:Choice Requires="w14">
          <w:numFmt w:val="custom" w:format="α, β, γ, ..."/>
        </mc:Choice>
        <mc:Fallback>
          <w:numFmt w:val="decimal"/>
        </mc:Fallback>
      </mc:AlternateContent>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14178E"/>
    <w:multiLevelType w:val="hybridMultilevel"/>
    <w:tmpl w:val="9A0A06BA"/>
    <w:lvl w:ilvl="0" w:tplc="CE182624">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971EB0"/>
    <w:multiLevelType w:val="hybridMultilevel"/>
    <w:tmpl w:val="60504BE6"/>
    <w:lvl w:ilvl="0" w:tplc="9FC00366">
      <w:start w:val="1"/>
      <w:numFmt w:val="upperRoman"/>
      <w:lvlText w:val="%1."/>
      <w:lvlJc w:val="left"/>
      <w:pPr>
        <w:ind w:left="1080" w:hanging="720"/>
      </w:pPr>
      <w:rPr>
        <w:rFonts w:hint="default"/>
      </w:rPr>
    </w:lvl>
    <w:lvl w:ilvl="1" w:tplc="2138BA4A" w:tentative="1">
      <w:start w:val="1"/>
      <mc:AlternateContent>
        <mc:Choice Requires="w14">
          <w:numFmt w:val="custom" w:format="α, β, γ, ..."/>
        </mc:Choice>
        <mc:Fallback>
          <w:numFmt w:val="decimal"/>
        </mc:Fallback>
      </mc:AlternateConten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7D48A7A8" w:tentative="1">
      <w:start w:val="1"/>
      <mc:AlternateContent>
        <mc:Choice Requires="w14">
          <w:numFmt w:val="custom" w:format="α, β, γ, ..."/>
        </mc:Choice>
        <mc:Fallback>
          <w:numFmt w:val="decimal"/>
        </mc:Fallback>
      </mc:AlternateContent>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23A6EFC0" w:tentative="1">
      <w:start w:val="1"/>
      <mc:AlternateContent>
        <mc:Choice Requires="w14">
          <w:numFmt w:val="custom" w:format="α, β, γ, ..."/>
        </mc:Choice>
        <mc:Fallback>
          <w:numFmt w:val="decimal"/>
        </mc:Fallback>
      </mc:AlternateContent>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ACDA906"/>
    <w:multiLevelType w:val="hybridMultilevel"/>
    <w:tmpl w:val="B0FAE440"/>
    <w:lvl w:ilvl="0" w:tplc="8048B474">
      <w:start w:val="1"/>
      <mc:AlternateContent>
        <mc:Choice Requires="w14">
          <w:numFmt w:val="custom" w:format="Α, Β, Γ, ..."/>
        </mc:Choice>
        <mc:Fallback>
          <w:numFmt w:val="decimal"/>
        </mc:Fallback>
      </mc:AlternateContent>
      <w:lvlText w:val="%1)"/>
      <w:lvlJc w:val="left"/>
      <w:pPr>
        <w:ind w:left="720" w:hanging="360"/>
      </w:pPr>
    </w:lvl>
    <w:lvl w:ilvl="1" w:tplc="4A006E20">
      <w:start w:val="1"/>
      <mc:AlternateContent>
        <mc:Choice Requires="w14">
          <w:numFmt w:val="custom" w:format="α, β, γ, ..."/>
        </mc:Choice>
        <mc:Fallback>
          <w:numFmt w:val="decimal"/>
        </mc:Fallback>
      </mc:AlternateContent>
      <w:lvlText w:val="%2."/>
      <w:lvlJc w:val="left"/>
      <w:pPr>
        <w:ind w:left="1440" w:hanging="360"/>
      </w:pPr>
    </w:lvl>
    <w:lvl w:ilvl="2" w:tplc="1F2C3ACE">
      <w:start w:val="1"/>
      <w:numFmt w:val="lowerRoman"/>
      <w:lvlText w:val="%3."/>
      <w:lvlJc w:val="right"/>
      <w:pPr>
        <w:ind w:left="2160" w:hanging="180"/>
      </w:pPr>
    </w:lvl>
    <w:lvl w:ilvl="3" w:tplc="4B4E7A2E">
      <w:start w:val="1"/>
      <w:numFmt w:val="decimal"/>
      <w:lvlText w:val="%4."/>
      <w:lvlJc w:val="left"/>
      <w:pPr>
        <w:ind w:left="2880" w:hanging="360"/>
      </w:pPr>
    </w:lvl>
    <w:lvl w:ilvl="4" w:tplc="6BF870FA">
      <w:start w:val="1"/>
      <mc:AlternateContent>
        <mc:Choice Requires="w14">
          <w:numFmt w:val="custom" w:format="α, β, γ, ..."/>
        </mc:Choice>
        <mc:Fallback>
          <w:numFmt w:val="decimal"/>
        </mc:Fallback>
      </mc:AlternateContent>
      <w:lvlText w:val="%5."/>
      <w:lvlJc w:val="left"/>
      <w:pPr>
        <w:ind w:left="3600" w:hanging="360"/>
      </w:pPr>
    </w:lvl>
    <w:lvl w:ilvl="5" w:tplc="B186EB7E">
      <w:start w:val="1"/>
      <w:numFmt w:val="lowerRoman"/>
      <w:lvlText w:val="%6."/>
      <w:lvlJc w:val="right"/>
      <w:pPr>
        <w:ind w:left="4320" w:hanging="180"/>
      </w:pPr>
    </w:lvl>
    <w:lvl w:ilvl="6" w:tplc="CEEAA0DE">
      <w:start w:val="1"/>
      <w:numFmt w:val="decimal"/>
      <w:lvlText w:val="%7."/>
      <w:lvlJc w:val="left"/>
      <w:pPr>
        <w:ind w:left="5040" w:hanging="360"/>
      </w:pPr>
    </w:lvl>
    <w:lvl w:ilvl="7" w:tplc="E65C11B8">
      <w:start w:val="1"/>
      <mc:AlternateContent>
        <mc:Choice Requires="w14">
          <w:numFmt w:val="custom" w:format="α, β, γ, ..."/>
        </mc:Choice>
        <mc:Fallback>
          <w:numFmt w:val="decimal"/>
        </mc:Fallback>
      </mc:AlternateContent>
      <w:lvlText w:val="%8."/>
      <w:lvlJc w:val="left"/>
      <w:pPr>
        <w:ind w:left="5760" w:hanging="360"/>
      </w:pPr>
    </w:lvl>
    <w:lvl w:ilvl="8" w:tplc="D318010A">
      <w:start w:val="1"/>
      <w:numFmt w:val="lowerRoman"/>
      <w:lvlText w:val="%9."/>
      <w:lvlJc w:val="right"/>
      <w:pPr>
        <w:ind w:left="6480" w:hanging="180"/>
      </w:pPr>
    </w:lvl>
  </w:abstractNum>
  <w:abstractNum w:abstractNumId="14"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84597E"/>
    <w:multiLevelType w:val="hybridMultilevel"/>
    <w:tmpl w:val="96AE2850"/>
    <w:lvl w:ilvl="0" w:tplc="DC1EF0AC">
      <w:start w:val="1"/>
      <w:numFmt w:val="bullet"/>
      <w:lvlText w:val="-"/>
      <w:lvlJc w:val="left"/>
      <w:pPr>
        <w:ind w:left="720" w:hanging="360"/>
      </w:pPr>
      <w:rPr>
        <w:rFonts w:ascii="Calibri" w:hAnsi="Calibri" w:hint="default"/>
      </w:rPr>
    </w:lvl>
    <w:lvl w:ilvl="1" w:tplc="B860EF02">
      <w:start w:val="1"/>
      <w:numFmt w:val="bullet"/>
      <w:lvlText w:val="o"/>
      <w:lvlJc w:val="left"/>
      <w:pPr>
        <w:ind w:left="1440" w:hanging="360"/>
      </w:pPr>
      <w:rPr>
        <w:rFonts w:ascii="Courier New" w:hAnsi="Courier New" w:hint="default"/>
      </w:rPr>
    </w:lvl>
    <w:lvl w:ilvl="2" w:tplc="CC406B2E">
      <w:start w:val="1"/>
      <w:numFmt w:val="bullet"/>
      <w:lvlText w:val=""/>
      <w:lvlJc w:val="left"/>
      <w:pPr>
        <w:ind w:left="2160" w:hanging="360"/>
      </w:pPr>
      <w:rPr>
        <w:rFonts w:ascii="Wingdings" w:hAnsi="Wingdings" w:hint="default"/>
      </w:rPr>
    </w:lvl>
    <w:lvl w:ilvl="3" w:tplc="54664EB6">
      <w:start w:val="1"/>
      <w:numFmt w:val="bullet"/>
      <w:lvlText w:val=""/>
      <w:lvlJc w:val="left"/>
      <w:pPr>
        <w:ind w:left="2880" w:hanging="360"/>
      </w:pPr>
      <w:rPr>
        <w:rFonts w:ascii="Symbol" w:hAnsi="Symbol" w:hint="default"/>
      </w:rPr>
    </w:lvl>
    <w:lvl w:ilvl="4" w:tplc="01FA1854">
      <w:start w:val="1"/>
      <w:numFmt w:val="bullet"/>
      <w:lvlText w:val="o"/>
      <w:lvlJc w:val="left"/>
      <w:pPr>
        <w:ind w:left="3600" w:hanging="360"/>
      </w:pPr>
      <w:rPr>
        <w:rFonts w:ascii="Courier New" w:hAnsi="Courier New" w:hint="default"/>
      </w:rPr>
    </w:lvl>
    <w:lvl w:ilvl="5" w:tplc="B6D0DF6C">
      <w:start w:val="1"/>
      <w:numFmt w:val="bullet"/>
      <w:lvlText w:val=""/>
      <w:lvlJc w:val="left"/>
      <w:pPr>
        <w:ind w:left="4320" w:hanging="360"/>
      </w:pPr>
      <w:rPr>
        <w:rFonts w:ascii="Wingdings" w:hAnsi="Wingdings" w:hint="default"/>
      </w:rPr>
    </w:lvl>
    <w:lvl w:ilvl="6" w:tplc="BD621402">
      <w:start w:val="1"/>
      <w:numFmt w:val="bullet"/>
      <w:lvlText w:val=""/>
      <w:lvlJc w:val="left"/>
      <w:pPr>
        <w:ind w:left="5040" w:hanging="360"/>
      </w:pPr>
      <w:rPr>
        <w:rFonts w:ascii="Symbol" w:hAnsi="Symbol" w:hint="default"/>
      </w:rPr>
    </w:lvl>
    <w:lvl w:ilvl="7" w:tplc="04847732">
      <w:start w:val="1"/>
      <w:numFmt w:val="bullet"/>
      <w:lvlText w:val="o"/>
      <w:lvlJc w:val="left"/>
      <w:pPr>
        <w:ind w:left="5760" w:hanging="360"/>
      </w:pPr>
      <w:rPr>
        <w:rFonts w:ascii="Courier New" w:hAnsi="Courier New" w:hint="default"/>
      </w:rPr>
    </w:lvl>
    <w:lvl w:ilvl="8" w:tplc="487E9826">
      <w:start w:val="1"/>
      <w:numFmt w:val="bullet"/>
      <w:lvlText w:val=""/>
      <w:lvlJc w:val="left"/>
      <w:pPr>
        <w:ind w:left="6480" w:hanging="360"/>
      </w:pPr>
      <w:rPr>
        <w:rFonts w:ascii="Wingdings" w:hAnsi="Wingdings" w:hint="default"/>
      </w:rPr>
    </w:lvl>
  </w:abstractNum>
  <w:abstractNum w:abstractNumId="19" w15:restartNumberingAfterBreak="0">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D7194B"/>
    <w:multiLevelType w:val="hybridMultilevel"/>
    <w:tmpl w:val="AD261DE2"/>
    <w:lvl w:ilvl="0" w:tplc="0409000F">
      <w:start w:val="1"/>
      <w:numFmt w:val="decimal"/>
      <w:lvlText w:val="%1."/>
      <w:lvlJc w:val="left"/>
      <w:pPr>
        <w:ind w:left="720" w:hanging="360"/>
      </w:pPr>
      <w:rPr>
        <w:rFonts w:hint="default"/>
      </w:rPr>
    </w:lvl>
    <w:lvl w:ilvl="1" w:tplc="E408B7BA" w:tentative="1">
      <w:start w:val="1"/>
      <mc:AlternateContent>
        <mc:Choice Requires="w14">
          <w:numFmt w:val="custom" w:format="α, β, γ, ..."/>
        </mc:Choice>
        <mc:Fallback>
          <w:numFmt w:val="decimal"/>
        </mc:Fallback>
      </mc:AlternateContent>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3612CDBE" w:tentative="1">
      <w:start w:val="1"/>
      <mc:AlternateContent>
        <mc:Choice Requires="w14">
          <w:numFmt w:val="custom" w:format="α, β, γ, ..."/>
        </mc:Choice>
        <mc:Fallback>
          <w:numFmt w:val="decimal"/>
        </mc:Fallback>
      </mc:AlternateContent>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E9D65B98" w:tentative="1">
      <w:start w:val="1"/>
      <mc:AlternateContent>
        <mc:Choice Requires="w14">
          <w:numFmt w:val="custom" w:format="α, β, γ, ..."/>
        </mc:Choice>
        <mc:Fallback>
          <w:numFmt w:val="decimal"/>
        </mc:Fallback>
      </mc:AlternateContent>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A615D04"/>
    <w:multiLevelType w:val="hybridMultilevel"/>
    <w:tmpl w:val="233611C4"/>
    <w:lvl w:ilvl="0" w:tplc="83447096">
      <w:start w:val="1"/>
      <w:numFmt w:val="upperRoman"/>
      <w:lvlText w:val="%1."/>
      <w:lvlJc w:val="left"/>
      <w:pPr>
        <w:ind w:left="720" w:hanging="360"/>
      </w:pPr>
      <w:rPr>
        <w:b/>
        <w:i w:val="0"/>
      </w:rPr>
    </w:lvl>
    <w:lvl w:ilvl="1" w:tplc="2A8ED21A" w:tentative="1">
      <w:start w:val="1"/>
      <mc:AlternateContent>
        <mc:Choice Requires="w14">
          <w:numFmt w:val="custom" w:format="α, β, γ, ..."/>
        </mc:Choice>
        <mc:Fallback>
          <w:numFmt w:val="decimal"/>
        </mc:Fallback>
      </mc:AlternateConten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2B9696D0" w:tentative="1">
      <w:start w:val="1"/>
      <mc:AlternateContent>
        <mc:Choice Requires="w14">
          <w:numFmt w:val="custom" w:format="α, β, γ, ..."/>
        </mc:Choice>
        <mc:Fallback>
          <w:numFmt w:val="decimal"/>
        </mc:Fallback>
      </mc:AlternateContent>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D49E70B6" w:tentative="1">
      <w:start w:val="1"/>
      <mc:AlternateContent>
        <mc:Choice Requires="w14">
          <w:numFmt w:val="custom" w:format="α, β, γ, ..."/>
        </mc:Choice>
        <mc:Fallback>
          <w:numFmt w:val="decimal"/>
        </mc:Fallback>
      </mc:AlternateContent>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AC5E20"/>
    <w:multiLevelType w:val="hybridMultilevel"/>
    <w:tmpl w:val="3BE2A1D6"/>
    <w:lvl w:ilvl="0" w:tplc="0409000F">
      <w:start w:val="1"/>
      <w:numFmt w:val="decimal"/>
      <w:lvlText w:val="%1."/>
      <w:lvlJc w:val="left"/>
      <w:pPr>
        <w:ind w:left="720" w:hanging="360"/>
      </w:pPr>
    </w:lvl>
    <w:lvl w:ilvl="1" w:tplc="2FA889DA" w:tentative="1">
      <w:start w:val="1"/>
      <mc:AlternateContent>
        <mc:Choice Requires="w14">
          <w:numFmt w:val="custom" w:format="α, β, γ, ..."/>
        </mc:Choice>
        <mc:Fallback>
          <w:numFmt w:val="decimal"/>
        </mc:Fallback>
      </mc:AlternateContent>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348C4534" w:tentative="1">
      <w:start w:val="1"/>
      <mc:AlternateContent>
        <mc:Choice Requires="w14">
          <w:numFmt w:val="custom" w:format="α, β, γ, ..."/>
        </mc:Choice>
        <mc:Fallback>
          <w:numFmt w:val="decimal"/>
        </mc:Fallback>
      </mc:AlternateContent>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38D2499C" w:tentative="1">
      <w:start w:val="1"/>
      <mc:AlternateContent>
        <mc:Choice Requires="w14">
          <w:numFmt w:val="custom" w:format="α, β, γ, ..."/>
        </mc:Choice>
        <mc:Fallback>
          <w:numFmt w:val="decimal"/>
        </mc:Fallback>
      </mc:AlternateContent>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42923B9"/>
    <w:multiLevelType w:val="hybridMultilevel"/>
    <w:tmpl w:val="94D676DA"/>
    <w:lvl w:ilvl="0" w:tplc="0409000F">
      <w:start w:val="1"/>
      <w:numFmt w:val="decimal"/>
      <w:lvlText w:val="%1."/>
      <w:lvlJc w:val="left"/>
      <w:pPr>
        <w:ind w:left="720" w:hanging="360"/>
      </w:pPr>
    </w:lvl>
    <w:lvl w:ilvl="1" w:tplc="C6122AAE" w:tentative="1">
      <w:start w:val="1"/>
      <mc:AlternateContent>
        <mc:Choice Requires="w14">
          <w:numFmt w:val="custom" w:format="α, β, γ, ..."/>
        </mc:Choice>
        <mc:Fallback>
          <w:numFmt w:val="decimal"/>
        </mc:Fallback>
      </mc:AlternateContent>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97DECEBC" w:tentative="1">
      <w:start w:val="1"/>
      <mc:AlternateContent>
        <mc:Choice Requires="w14">
          <w:numFmt w:val="custom" w:format="α, β, γ, ..."/>
        </mc:Choice>
        <mc:Fallback>
          <w:numFmt w:val="decimal"/>
        </mc:Fallback>
      </mc:AlternateContent>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A6887FE" w:tentative="1">
      <w:start w:val="1"/>
      <mc:AlternateContent>
        <mc:Choice Requires="w14">
          <w:numFmt w:val="custom" w:format="α, β, γ, ..."/>
        </mc:Choice>
        <mc:Fallback>
          <w:numFmt w:val="decimal"/>
        </mc:Fallback>
      </mc:AlternateContent>
      <w:lvlText w:val="%8."/>
      <w:lvlJc w:val="left"/>
      <w:pPr>
        <w:ind w:left="5760" w:hanging="360"/>
      </w:pPr>
    </w:lvl>
    <w:lvl w:ilvl="8" w:tplc="080C001B" w:tentative="1">
      <w:start w:val="1"/>
      <w:numFmt w:val="lowerRoman"/>
      <w:lvlText w:val="%9."/>
      <w:lvlJc w:val="right"/>
      <w:pPr>
        <w:ind w:left="6480" w:hanging="180"/>
      </w:pPr>
    </w:lvl>
  </w:abstractNum>
  <w:num w:numId="1" w16cid:durableId="1142116494">
    <w:abstractNumId w:val="2"/>
  </w:num>
  <w:num w:numId="2" w16cid:durableId="1322855550">
    <w:abstractNumId w:val="0"/>
  </w:num>
  <w:num w:numId="3" w16cid:durableId="1257715970">
    <w:abstractNumId w:val="12"/>
  </w:num>
  <w:num w:numId="4" w16cid:durableId="847140979">
    <w:abstractNumId w:val="24"/>
  </w:num>
  <w:num w:numId="5" w16cid:durableId="1439058668">
    <w:abstractNumId w:val="14"/>
  </w:num>
  <w:num w:numId="6" w16cid:durableId="1859926938">
    <w:abstractNumId w:val="16"/>
  </w:num>
  <w:num w:numId="7" w16cid:durableId="21518633">
    <w:abstractNumId w:val="8"/>
  </w:num>
  <w:num w:numId="8" w16cid:durableId="640232494">
    <w:abstractNumId w:val="6"/>
  </w:num>
  <w:num w:numId="9" w16cid:durableId="1113133939">
    <w:abstractNumId w:val="20"/>
  </w:num>
  <w:num w:numId="10" w16cid:durableId="1727218462">
    <w:abstractNumId w:val="17"/>
  </w:num>
  <w:num w:numId="11" w16cid:durableId="1566136557">
    <w:abstractNumId w:val="19"/>
  </w:num>
  <w:num w:numId="12" w16cid:durableId="1357578250">
    <w:abstractNumId w:val="7"/>
  </w:num>
  <w:num w:numId="13" w16cid:durableId="1627815811">
    <w:abstractNumId w:val="15"/>
  </w:num>
  <w:num w:numId="14" w16cid:durableId="2027248380">
    <w:abstractNumId w:val="9"/>
  </w:num>
  <w:num w:numId="15" w16cid:durableId="1901287732">
    <w:abstractNumId w:val="11"/>
  </w:num>
  <w:num w:numId="16" w16cid:durableId="719667754">
    <w:abstractNumId w:val="22"/>
  </w:num>
  <w:num w:numId="17" w16cid:durableId="783842830">
    <w:abstractNumId w:val="1"/>
  </w:num>
  <w:num w:numId="18" w16cid:durableId="1213809869">
    <w:abstractNumId w:val="10"/>
  </w:num>
  <w:num w:numId="19" w16cid:durableId="1348605876">
    <w:abstractNumId w:val="18"/>
  </w:num>
  <w:num w:numId="20" w16cid:durableId="2039087775">
    <w:abstractNumId w:val="13"/>
  </w:num>
  <w:num w:numId="21" w16cid:durableId="634676319">
    <w:abstractNumId w:val="3"/>
  </w:num>
  <w:num w:numId="22" w16cid:durableId="1919896350">
    <w:abstractNumId w:val="4"/>
  </w:num>
  <w:num w:numId="23" w16cid:durableId="1093548637">
    <w:abstractNumId w:val="5"/>
  </w:num>
  <w:num w:numId="24" w16cid:durableId="2104177344">
    <w:abstractNumId w:val="0"/>
  </w:num>
  <w:num w:numId="25" w16cid:durableId="1379672530">
    <w:abstractNumId w:val="25"/>
  </w:num>
  <w:num w:numId="26" w16cid:durableId="396326251">
    <w:abstractNumId w:val="21"/>
  </w:num>
  <w:num w:numId="27" w16cid:durableId="12633386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94"/>
    <w:rsid w:val="00000F2D"/>
    <w:rsid w:val="00005434"/>
    <w:rsid w:val="00010E63"/>
    <w:rsid w:val="0001132E"/>
    <w:rsid w:val="00013DE8"/>
    <w:rsid w:val="00022B56"/>
    <w:rsid w:val="00033EE3"/>
    <w:rsid w:val="000513FA"/>
    <w:rsid w:val="00055F70"/>
    <w:rsid w:val="000615B3"/>
    <w:rsid w:val="00061CEB"/>
    <w:rsid w:val="0007636B"/>
    <w:rsid w:val="00092219"/>
    <w:rsid w:val="00097FE2"/>
    <w:rsid w:val="000A11E5"/>
    <w:rsid w:val="000A67ED"/>
    <w:rsid w:val="000C7059"/>
    <w:rsid w:val="000D6535"/>
    <w:rsid w:val="000D69F5"/>
    <w:rsid w:val="000D7AEC"/>
    <w:rsid w:val="000E73E8"/>
    <w:rsid w:val="000F2317"/>
    <w:rsid w:val="000F2520"/>
    <w:rsid w:val="001017BA"/>
    <w:rsid w:val="001043CA"/>
    <w:rsid w:val="00106E65"/>
    <w:rsid w:val="001118E1"/>
    <w:rsid w:val="00114DE1"/>
    <w:rsid w:val="00117963"/>
    <w:rsid w:val="00117D9C"/>
    <w:rsid w:val="0012160B"/>
    <w:rsid w:val="00124EF4"/>
    <w:rsid w:val="001256E1"/>
    <w:rsid w:val="00126C1D"/>
    <w:rsid w:val="0013001C"/>
    <w:rsid w:val="00131CA8"/>
    <w:rsid w:val="00143A40"/>
    <w:rsid w:val="00144181"/>
    <w:rsid w:val="00150BB7"/>
    <w:rsid w:val="0015788C"/>
    <w:rsid w:val="00162DE1"/>
    <w:rsid w:val="00173932"/>
    <w:rsid w:val="00175BD7"/>
    <w:rsid w:val="001761E0"/>
    <w:rsid w:val="0018626E"/>
    <w:rsid w:val="00193DB4"/>
    <w:rsid w:val="00197F43"/>
    <w:rsid w:val="001A710F"/>
    <w:rsid w:val="001B193E"/>
    <w:rsid w:val="001B2022"/>
    <w:rsid w:val="001B2990"/>
    <w:rsid w:val="001B7C32"/>
    <w:rsid w:val="001C29E6"/>
    <w:rsid w:val="001C37D4"/>
    <w:rsid w:val="001E1148"/>
    <w:rsid w:val="001E31D5"/>
    <w:rsid w:val="00200B87"/>
    <w:rsid w:val="00202758"/>
    <w:rsid w:val="00204D63"/>
    <w:rsid w:val="0020783F"/>
    <w:rsid w:val="002107DD"/>
    <w:rsid w:val="002111B1"/>
    <w:rsid w:val="00211BA6"/>
    <w:rsid w:val="00212329"/>
    <w:rsid w:val="00214B73"/>
    <w:rsid w:val="00224A4C"/>
    <w:rsid w:val="00224C9A"/>
    <w:rsid w:val="002338C9"/>
    <w:rsid w:val="00246FF4"/>
    <w:rsid w:val="00254B94"/>
    <w:rsid w:val="002564C2"/>
    <w:rsid w:val="0025705A"/>
    <w:rsid w:val="002660BD"/>
    <w:rsid w:val="00266420"/>
    <w:rsid w:val="00266574"/>
    <w:rsid w:val="00272447"/>
    <w:rsid w:val="0027246A"/>
    <w:rsid w:val="002741A7"/>
    <w:rsid w:val="00280FBA"/>
    <w:rsid w:val="00282E5F"/>
    <w:rsid w:val="002A3F31"/>
    <w:rsid w:val="002B1CE4"/>
    <w:rsid w:val="002C211A"/>
    <w:rsid w:val="002C379A"/>
    <w:rsid w:val="002C6C22"/>
    <w:rsid w:val="002D298C"/>
    <w:rsid w:val="002D6715"/>
    <w:rsid w:val="002E2F11"/>
    <w:rsid w:val="002E3C9A"/>
    <w:rsid w:val="002F03D6"/>
    <w:rsid w:val="002F4D26"/>
    <w:rsid w:val="00305CD2"/>
    <w:rsid w:val="00306A90"/>
    <w:rsid w:val="0032102F"/>
    <w:rsid w:val="0032296D"/>
    <w:rsid w:val="0032605F"/>
    <w:rsid w:val="00327E28"/>
    <w:rsid w:val="0033617E"/>
    <w:rsid w:val="00341ABC"/>
    <w:rsid w:val="00343534"/>
    <w:rsid w:val="0035063C"/>
    <w:rsid w:val="00353E10"/>
    <w:rsid w:val="003628AA"/>
    <w:rsid w:val="0036383B"/>
    <w:rsid w:val="00363DD5"/>
    <w:rsid w:val="00365229"/>
    <w:rsid w:val="00366FF4"/>
    <w:rsid w:val="00374ADD"/>
    <w:rsid w:val="00377385"/>
    <w:rsid w:val="0038000B"/>
    <w:rsid w:val="003A1D4A"/>
    <w:rsid w:val="003A251A"/>
    <w:rsid w:val="003A392D"/>
    <w:rsid w:val="003A6655"/>
    <w:rsid w:val="003B439E"/>
    <w:rsid w:val="003B442C"/>
    <w:rsid w:val="003C109C"/>
    <w:rsid w:val="003C2809"/>
    <w:rsid w:val="003C695D"/>
    <w:rsid w:val="003C74B6"/>
    <w:rsid w:val="003C79E0"/>
    <w:rsid w:val="003D1DDE"/>
    <w:rsid w:val="003D49B5"/>
    <w:rsid w:val="003E0A74"/>
    <w:rsid w:val="003E174E"/>
    <w:rsid w:val="003E1D03"/>
    <w:rsid w:val="003E285A"/>
    <w:rsid w:val="003F1555"/>
    <w:rsid w:val="003F28AD"/>
    <w:rsid w:val="003F499C"/>
    <w:rsid w:val="003F5017"/>
    <w:rsid w:val="003F5BAA"/>
    <w:rsid w:val="003F69CE"/>
    <w:rsid w:val="004004B0"/>
    <w:rsid w:val="00402C45"/>
    <w:rsid w:val="0041186F"/>
    <w:rsid w:val="00415704"/>
    <w:rsid w:val="00423286"/>
    <w:rsid w:val="00426DB1"/>
    <w:rsid w:val="004354C6"/>
    <w:rsid w:val="00437633"/>
    <w:rsid w:val="00440DA4"/>
    <w:rsid w:val="004460D0"/>
    <w:rsid w:val="00457DA6"/>
    <w:rsid w:val="00471BA5"/>
    <w:rsid w:val="00473360"/>
    <w:rsid w:val="00474D77"/>
    <w:rsid w:val="00474F15"/>
    <w:rsid w:val="0047548B"/>
    <w:rsid w:val="0048560B"/>
    <w:rsid w:val="004926D4"/>
    <w:rsid w:val="00492A93"/>
    <w:rsid w:val="00497C68"/>
    <w:rsid w:val="004B0F0D"/>
    <w:rsid w:val="004B35BF"/>
    <w:rsid w:val="004C19AF"/>
    <w:rsid w:val="004D0021"/>
    <w:rsid w:val="004D1B76"/>
    <w:rsid w:val="004D53AE"/>
    <w:rsid w:val="004D5A97"/>
    <w:rsid w:val="004E1398"/>
    <w:rsid w:val="004E6257"/>
    <w:rsid w:val="004F09CD"/>
    <w:rsid w:val="004F2861"/>
    <w:rsid w:val="00506B0E"/>
    <w:rsid w:val="00507D64"/>
    <w:rsid w:val="00511635"/>
    <w:rsid w:val="00516B7F"/>
    <w:rsid w:val="00540BF8"/>
    <w:rsid w:val="00541FE7"/>
    <w:rsid w:val="00542EBD"/>
    <w:rsid w:val="005532AE"/>
    <w:rsid w:val="00553985"/>
    <w:rsid w:val="00554B72"/>
    <w:rsid w:val="00556402"/>
    <w:rsid w:val="0056357E"/>
    <w:rsid w:val="00572E72"/>
    <w:rsid w:val="0059431C"/>
    <w:rsid w:val="005A71B3"/>
    <w:rsid w:val="005B3A67"/>
    <w:rsid w:val="005B62FF"/>
    <w:rsid w:val="005B764F"/>
    <w:rsid w:val="005C3CC5"/>
    <w:rsid w:val="005C4F1C"/>
    <w:rsid w:val="005C7444"/>
    <w:rsid w:val="005D1709"/>
    <w:rsid w:val="005D31A6"/>
    <w:rsid w:val="005D4841"/>
    <w:rsid w:val="005D5FD4"/>
    <w:rsid w:val="005E1B57"/>
    <w:rsid w:val="005E4F88"/>
    <w:rsid w:val="005F1784"/>
    <w:rsid w:val="005F47BC"/>
    <w:rsid w:val="005F6758"/>
    <w:rsid w:val="005F6F76"/>
    <w:rsid w:val="005F7742"/>
    <w:rsid w:val="0060722F"/>
    <w:rsid w:val="006107E2"/>
    <w:rsid w:val="00611A79"/>
    <w:rsid w:val="00611E8C"/>
    <w:rsid w:val="00613BD8"/>
    <w:rsid w:val="00614B77"/>
    <w:rsid w:val="00616916"/>
    <w:rsid w:val="00617C69"/>
    <w:rsid w:val="00626D61"/>
    <w:rsid w:val="00633920"/>
    <w:rsid w:val="0064074B"/>
    <w:rsid w:val="0065220A"/>
    <w:rsid w:val="006579A9"/>
    <w:rsid w:val="006601B0"/>
    <w:rsid w:val="0066691D"/>
    <w:rsid w:val="00672374"/>
    <w:rsid w:val="00674D38"/>
    <w:rsid w:val="0067644B"/>
    <w:rsid w:val="006837BF"/>
    <w:rsid w:val="006A432B"/>
    <w:rsid w:val="006B190C"/>
    <w:rsid w:val="006C02F1"/>
    <w:rsid w:val="006C2B63"/>
    <w:rsid w:val="006C436A"/>
    <w:rsid w:val="006D199D"/>
    <w:rsid w:val="006D6FDA"/>
    <w:rsid w:val="006E000D"/>
    <w:rsid w:val="006F64C8"/>
    <w:rsid w:val="00701D9F"/>
    <w:rsid w:val="00703829"/>
    <w:rsid w:val="00705ECE"/>
    <w:rsid w:val="00723559"/>
    <w:rsid w:val="00725863"/>
    <w:rsid w:val="007262CA"/>
    <w:rsid w:val="00732EED"/>
    <w:rsid w:val="007429BE"/>
    <w:rsid w:val="007616B3"/>
    <w:rsid w:val="00764E44"/>
    <w:rsid w:val="00771706"/>
    <w:rsid w:val="00774B6A"/>
    <w:rsid w:val="00781521"/>
    <w:rsid w:val="00784280"/>
    <w:rsid w:val="007860DC"/>
    <w:rsid w:val="0078776B"/>
    <w:rsid w:val="0079007C"/>
    <w:rsid w:val="007A196B"/>
    <w:rsid w:val="007A28E1"/>
    <w:rsid w:val="007A569B"/>
    <w:rsid w:val="007B187A"/>
    <w:rsid w:val="007B4207"/>
    <w:rsid w:val="007B6653"/>
    <w:rsid w:val="007D43B3"/>
    <w:rsid w:val="007E3173"/>
    <w:rsid w:val="007E7483"/>
    <w:rsid w:val="007F0E4A"/>
    <w:rsid w:val="007F5E60"/>
    <w:rsid w:val="008019B3"/>
    <w:rsid w:val="00802C2D"/>
    <w:rsid w:val="00807088"/>
    <w:rsid w:val="00807BDD"/>
    <w:rsid w:val="00813F4D"/>
    <w:rsid w:val="00816CB7"/>
    <w:rsid w:val="0083195B"/>
    <w:rsid w:val="00835B08"/>
    <w:rsid w:val="00837154"/>
    <w:rsid w:val="008377F1"/>
    <w:rsid w:val="00837FA5"/>
    <w:rsid w:val="008616B4"/>
    <w:rsid w:val="008620C9"/>
    <w:rsid w:val="008756FC"/>
    <w:rsid w:val="00880B37"/>
    <w:rsid w:val="00887BB1"/>
    <w:rsid w:val="00890637"/>
    <w:rsid w:val="00893A50"/>
    <w:rsid w:val="00893E80"/>
    <w:rsid w:val="00896708"/>
    <w:rsid w:val="0089677B"/>
    <w:rsid w:val="008A451C"/>
    <w:rsid w:val="008A781C"/>
    <w:rsid w:val="008B0F9E"/>
    <w:rsid w:val="008B0FBE"/>
    <w:rsid w:val="008B435E"/>
    <w:rsid w:val="008B541E"/>
    <w:rsid w:val="008C61EE"/>
    <w:rsid w:val="008C6E6E"/>
    <w:rsid w:val="008D13A4"/>
    <w:rsid w:val="008F195C"/>
    <w:rsid w:val="008F5BE9"/>
    <w:rsid w:val="008F63F5"/>
    <w:rsid w:val="008F6D16"/>
    <w:rsid w:val="00903F61"/>
    <w:rsid w:val="0090507B"/>
    <w:rsid w:val="009051AB"/>
    <w:rsid w:val="00906BF6"/>
    <w:rsid w:val="009208EB"/>
    <w:rsid w:val="00923AD4"/>
    <w:rsid w:val="00927699"/>
    <w:rsid w:val="00927C6C"/>
    <w:rsid w:val="009320E9"/>
    <w:rsid w:val="00955D36"/>
    <w:rsid w:val="00964DFF"/>
    <w:rsid w:val="00984F83"/>
    <w:rsid w:val="00986807"/>
    <w:rsid w:val="0099635D"/>
    <w:rsid w:val="009968F3"/>
    <w:rsid w:val="009A6692"/>
    <w:rsid w:val="009B0370"/>
    <w:rsid w:val="009D0B61"/>
    <w:rsid w:val="009D304D"/>
    <w:rsid w:val="009D77C2"/>
    <w:rsid w:val="009E223B"/>
    <w:rsid w:val="009F31FB"/>
    <w:rsid w:val="00A012A8"/>
    <w:rsid w:val="00A012E5"/>
    <w:rsid w:val="00A10181"/>
    <w:rsid w:val="00A157AB"/>
    <w:rsid w:val="00A20F12"/>
    <w:rsid w:val="00A22803"/>
    <w:rsid w:val="00A334D5"/>
    <w:rsid w:val="00A57DF8"/>
    <w:rsid w:val="00A84A4B"/>
    <w:rsid w:val="00A9353F"/>
    <w:rsid w:val="00AA150D"/>
    <w:rsid w:val="00AA1B14"/>
    <w:rsid w:val="00AC79B8"/>
    <w:rsid w:val="00AD1119"/>
    <w:rsid w:val="00AD3B51"/>
    <w:rsid w:val="00AD75EB"/>
    <w:rsid w:val="00AF2308"/>
    <w:rsid w:val="00AF2DC0"/>
    <w:rsid w:val="00B024CF"/>
    <w:rsid w:val="00B070CA"/>
    <w:rsid w:val="00B13382"/>
    <w:rsid w:val="00B148B8"/>
    <w:rsid w:val="00B153E3"/>
    <w:rsid w:val="00B23306"/>
    <w:rsid w:val="00B263C4"/>
    <w:rsid w:val="00B43908"/>
    <w:rsid w:val="00B505B9"/>
    <w:rsid w:val="00B52894"/>
    <w:rsid w:val="00B5442E"/>
    <w:rsid w:val="00B71225"/>
    <w:rsid w:val="00B73D1B"/>
    <w:rsid w:val="00B837F1"/>
    <w:rsid w:val="00B83B2E"/>
    <w:rsid w:val="00B87D31"/>
    <w:rsid w:val="00B9081A"/>
    <w:rsid w:val="00B931D1"/>
    <w:rsid w:val="00B93C09"/>
    <w:rsid w:val="00BB2D35"/>
    <w:rsid w:val="00BB6F64"/>
    <w:rsid w:val="00BC0B87"/>
    <w:rsid w:val="00BD0899"/>
    <w:rsid w:val="00BD5FD2"/>
    <w:rsid w:val="00BE066A"/>
    <w:rsid w:val="00BF31B5"/>
    <w:rsid w:val="00BF7AE7"/>
    <w:rsid w:val="00C01B02"/>
    <w:rsid w:val="00C1025F"/>
    <w:rsid w:val="00C1469A"/>
    <w:rsid w:val="00C14ABB"/>
    <w:rsid w:val="00C245D1"/>
    <w:rsid w:val="00C35468"/>
    <w:rsid w:val="00C37C48"/>
    <w:rsid w:val="00C400B0"/>
    <w:rsid w:val="00C5033F"/>
    <w:rsid w:val="00C50E04"/>
    <w:rsid w:val="00C56F96"/>
    <w:rsid w:val="00C60C90"/>
    <w:rsid w:val="00C60CA5"/>
    <w:rsid w:val="00C639CA"/>
    <w:rsid w:val="00C67DE6"/>
    <w:rsid w:val="00C8021E"/>
    <w:rsid w:val="00C842AC"/>
    <w:rsid w:val="00C93DF8"/>
    <w:rsid w:val="00C96A1E"/>
    <w:rsid w:val="00CA35B5"/>
    <w:rsid w:val="00CA4806"/>
    <w:rsid w:val="00CD0423"/>
    <w:rsid w:val="00CD5B36"/>
    <w:rsid w:val="00CE3108"/>
    <w:rsid w:val="00CF7F55"/>
    <w:rsid w:val="00D12157"/>
    <w:rsid w:val="00D13D99"/>
    <w:rsid w:val="00D14C20"/>
    <w:rsid w:val="00D15F3F"/>
    <w:rsid w:val="00D217A1"/>
    <w:rsid w:val="00D22976"/>
    <w:rsid w:val="00D22F23"/>
    <w:rsid w:val="00D35408"/>
    <w:rsid w:val="00D53BA8"/>
    <w:rsid w:val="00D6005B"/>
    <w:rsid w:val="00D612DC"/>
    <w:rsid w:val="00D64D3A"/>
    <w:rsid w:val="00D6645D"/>
    <w:rsid w:val="00D70061"/>
    <w:rsid w:val="00D70126"/>
    <w:rsid w:val="00D71F53"/>
    <w:rsid w:val="00D73798"/>
    <w:rsid w:val="00D75E59"/>
    <w:rsid w:val="00D8619D"/>
    <w:rsid w:val="00D87D78"/>
    <w:rsid w:val="00D92C9C"/>
    <w:rsid w:val="00DA0AFC"/>
    <w:rsid w:val="00DA6150"/>
    <w:rsid w:val="00DB0FCD"/>
    <w:rsid w:val="00DB3487"/>
    <w:rsid w:val="00DD0185"/>
    <w:rsid w:val="00DD320F"/>
    <w:rsid w:val="00DD6B1C"/>
    <w:rsid w:val="00DE7736"/>
    <w:rsid w:val="00DF2EC8"/>
    <w:rsid w:val="00E0575B"/>
    <w:rsid w:val="00E1289A"/>
    <w:rsid w:val="00E14C98"/>
    <w:rsid w:val="00E156EF"/>
    <w:rsid w:val="00E16020"/>
    <w:rsid w:val="00E178F5"/>
    <w:rsid w:val="00E24136"/>
    <w:rsid w:val="00E261CE"/>
    <w:rsid w:val="00E27020"/>
    <w:rsid w:val="00E316D8"/>
    <w:rsid w:val="00E364FF"/>
    <w:rsid w:val="00E42F8B"/>
    <w:rsid w:val="00E53B54"/>
    <w:rsid w:val="00E562F2"/>
    <w:rsid w:val="00E62101"/>
    <w:rsid w:val="00E779F0"/>
    <w:rsid w:val="00E80309"/>
    <w:rsid w:val="00E84B90"/>
    <w:rsid w:val="00E85067"/>
    <w:rsid w:val="00E85C03"/>
    <w:rsid w:val="00E92D41"/>
    <w:rsid w:val="00E936F1"/>
    <w:rsid w:val="00E97ACF"/>
    <w:rsid w:val="00EA4441"/>
    <w:rsid w:val="00EB37AB"/>
    <w:rsid w:val="00EB3B52"/>
    <w:rsid w:val="00EE1BFC"/>
    <w:rsid w:val="00EE201E"/>
    <w:rsid w:val="00EE57EA"/>
    <w:rsid w:val="00EE78E2"/>
    <w:rsid w:val="00EF20F6"/>
    <w:rsid w:val="00F0138C"/>
    <w:rsid w:val="00F02698"/>
    <w:rsid w:val="00F12153"/>
    <w:rsid w:val="00F23334"/>
    <w:rsid w:val="00F27C05"/>
    <w:rsid w:val="00F31C3F"/>
    <w:rsid w:val="00F337AF"/>
    <w:rsid w:val="00F45402"/>
    <w:rsid w:val="00F52C44"/>
    <w:rsid w:val="00F61400"/>
    <w:rsid w:val="00F629AD"/>
    <w:rsid w:val="00F64FAA"/>
    <w:rsid w:val="00F65BEA"/>
    <w:rsid w:val="00F73F13"/>
    <w:rsid w:val="00F92739"/>
    <w:rsid w:val="00F971C0"/>
    <w:rsid w:val="00FA3836"/>
    <w:rsid w:val="00FA4244"/>
    <w:rsid w:val="00FA48BC"/>
    <w:rsid w:val="00FA530F"/>
    <w:rsid w:val="00FA7820"/>
    <w:rsid w:val="00FB4298"/>
    <w:rsid w:val="00FC47ED"/>
    <w:rsid w:val="00FD22C7"/>
    <w:rsid w:val="00FD6E6D"/>
    <w:rsid w:val="00FE143E"/>
    <w:rsid w:val="00FE487B"/>
    <w:rsid w:val="00FF230D"/>
    <w:rsid w:val="00FF3662"/>
    <w:rsid w:val="0116CEED"/>
    <w:rsid w:val="0154B469"/>
    <w:rsid w:val="01AFC68A"/>
    <w:rsid w:val="026092EF"/>
    <w:rsid w:val="02B70D9E"/>
    <w:rsid w:val="02DD838B"/>
    <w:rsid w:val="02F37712"/>
    <w:rsid w:val="034A863D"/>
    <w:rsid w:val="0365261F"/>
    <w:rsid w:val="03830859"/>
    <w:rsid w:val="0399E21B"/>
    <w:rsid w:val="045DF178"/>
    <w:rsid w:val="04DCB397"/>
    <w:rsid w:val="060ECB59"/>
    <w:rsid w:val="06B5298F"/>
    <w:rsid w:val="06B9CD24"/>
    <w:rsid w:val="06C83491"/>
    <w:rsid w:val="0787CC6F"/>
    <w:rsid w:val="087B4B32"/>
    <w:rsid w:val="0913C1AE"/>
    <w:rsid w:val="092674CB"/>
    <w:rsid w:val="09D77A2D"/>
    <w:rsid w:val="09E99EBD"/>
    <w:rsid w:val="09F28A13"/>
    <w:rsid w:val="0A73C504"/>
    <w:rsid w:val="0A9EA653"/>
    <w:rsid w:val="0C6B3D74"/>
    <w:rsid w:val="0C6CCCDB"/>
    <w:rsid w:val="0C9AC2A1"/>
    <w:rsid w:val="0D35090D"/>
    <w:rsid w:val="0E8E5B25"/>
    <w:rsid w:val="0E9D604A"/>
    <w:rsid w:val="0F465500"/>
    <w:rsid w:val="0FEED58A"/>
    <w:rsid w:val="106551E7"/>
    <w:rsid w:val="115DC4F6"/>
    <w:rsid w:val="122CF78C"/>
    <w:rsid w:val="125E33BA"/>
    <w:rsid w:val="127283A5"/>
    <w:rsid w:val="13139B98"/>
    <w:rsid w:val="131B5A9E"/>
    <w:rsid w:val="136BF579"/>
    <w:rsid w:val="13F04D2D"/>
    <w:rsid w:val="1445E209"/>
    <w:rsid w:val="1529D622"/>
    <w:rsid w:val="15632BA5"/>
    <w:rsid w:val="159D1CA4"/>
    <w:rsid w:val="1648FFDD"/>
    <w:rsid w:val="16A196F0"/>
    <w:rsid w:val="16DF2035"/>
    <w:rsid w:val="170A79E7"/>
    <w:rsid w:val="1714A9B4"/>
    <w:rsid w:val="17157F82"/>
    <w:rsid w:val="17629C08"/>
    <w:rsid w:val="17D21B4E"/>
    <w:rsid w:val="17E681F6"/>
    <w:rsid w:val="1842E0CF"/>
    <w:rsid w:val="18463114"/>
    <w:rsid w:val="185B9D28"/>
    <w:rsid w:val="18A8C5EE"/>
    <w:rsid w:val="18EC8DED"/>
    <w:rsid w:val="1A59C579"/>
    <w:rsid w:val="1A89B624"/>
    <w:rsid w:val="1AD46630"/>
    <w:rsid w:val="1BEC550F"/>
    <w:rsid w:val="1C101290"/>
    <w:rsid w:val="1C30F042"/>
    <w:rsid w:val="1C33770D"/>
    <w:rsid w:val="1DDF093F"/>
    <w:rsid w:val="1DE1FF6E"/>
    <w:rsid w:val="1DFCF3F6"/>
    <w:rsid w:val="1EEAA44E"/>
    <w:rsid w:val="1FB6262C"/>
    <w:rsid w:val="20513061"/>
    <w:rsid w:val="213B9AA2"/>
    <w:rsid w:val="2245C835"/>
    <w:rsid w:val="225B9693"/>
    <w:rsid w:val="22915934"/>
    <w:rsid w:val="22B9E1F0"/>
    <w:rsid w:val="22D24004"/>
    <w:rsid w:val="22D6679D"/>
    <w:rsid w:val="22EF72CE"/>
    <w:rsid w:val="23C091F9"/>
    <w:rsid w:val="243095C0"/>
    <w:rsid w:val="24859DB5"/>
    <w:rsid w:val="256A115C"/>
    <w:rsid w:val="256BA4F3"/>
    <w:rsid w:val="25A734E0"/>
    <w:rsid w:val="25B24AAB"/>
    <w:rsid w:val="25F86A2E"/>
    <w:rsid w:val="26BC3DBA"/>
    <w:rsid w:val="26CB0F4F"/>
    <w:rsid w:val="26D6A6B1"/>
    <w:rsid w:val="276B3D3D"/>
    <w:rsid w:val="27B9029A"/>
    <w:rsid w:val="28B0781B"/>
    <w:rsid w:val="291EE8B9"/>
    <w:rsid w:val="29AC0832"/>
    <w:rsid w:val="29CF74EB"/>
    <w:rsid w:val="2C611DC8"/>
    <w:rsid w:val="2CB97AA8"/>
    <w:rsid w:val="2CF85ABD"/>
    <w:rsid w:val="2D1644E5"/>
    <w:rsid w:val="2D420AE7"/>
    <w:rsid w:val="2D8348A0"/>
    <w:rsid w:val="2E591DA4"/>
    <w:rsid w:val="2E629F02"/>
    <w:rsid w:val="2F3D6863"/>
    <w:rsid w:val="2F4F65F6"/>
    <w:rsid w:val="2F8682D8"/>
    <w:rsid w:val="30A91E50"/>
    <w:rsid w:val="317ED73F"/>
    <w:rsid w:val="326A3279"/>
    <w:rsid w:val="32957999"/>
    <w:rsid w:val="33A65502"/>
    <w:rsid w:val="33FC4FE7"/>
    <w:rsid w:val="340602DA"/>
    <w:rsid w:val="34430C43"/>
    <w:rsid w:val="34B17AEE"/>
    <w:rsid w:val="34DC36F5"/>
    <w:rsid w:val="357D4B3E"/>
    <w:rsid w:val="35DEF2E4"/>
    <w:rsid w:val="3690FA94"/>
    <w:rsid w:val="38ACEE6C"/>
    <w:rsid w:val="38BD6813"/>
    <w:rsid w:val="38DAD22F"/>
    <w:rsid w:val="39035F6F"/>
    <w:rsid w:val="39E07F4A"/>
    <w:rsid w:val="3A52F01D"/>
    <w:rsid w:val="3A58592B"/>
    <w:rsid w:val="3AB7141F"/>
    <w:rsid w:val="3B0B2743"/>
    <w:rsid w:val="3B711262"/>
    <w:rsid w:val="3C3F3B6C"/>
    <w:rsid w:val="3C950C4D"/>
    <w:rsid w:val="3D91C055"/>
    <w:rsid w:val="3DC52D94"/>
    <w:rsid w:val="3E34D9C5"/>
    <w:rsid w:val="3E402BE2"/>
    <w:rsid w:val="3E8F079A"/>
    <w:rsid w:val="3EA30BE1"/>
    <w:rsid w:val="3EC8B952"/>
    <w:rsid w:val="3F66B49E"/>
    <w:rsid w:val="3FCC689D"/>
    <w:rsid w:val="40A1816C"/>
    <w:rsid w:val="40B69A8C"/>
    <w:rsid w:val="40BB5CD3"/>
    <w:rsid w:val="40EB1B92"/>
    <w:rsid w:val="41517C60"/>
    <w:rsid w:val="42AB7168"/>
    <w:rsid w:val="436570DA"/>
    <w:rsid w:val="436A6643"/>
    <w:rsid w:val="43949CC8"/>
    <w:rsid w:val="43C524D0"/>
    <w:rsid w:val="43FED062"/>
    <w:rsid w:val="44048C19"/>
    <w:rsid w:val="440D04FE"/>
    <w:rsid w:val="44AD9354"/>
    <w:rsid w:val="45B95F2E"/>
    <w:rsid w:val="4641105E"/>
    <w:rsid w:val="46426A7D"/>
    <w:rsid w:val="464E032F"/>
    <w:rsid w:val="4653D1A7"/>
    <w:rsid w:val="46A20705"/>
    <w:rsid w:val="46DFD469"/>
    <w:rsid w:val="46F2A925"/>
    <w:rsid w:val="47367124"/>
    <w:rsid w:val="4824BD54"/>
    <w:rsid w:val="48DBCD3A"/>
    <w:rsid w:val="4A6B4F5F"/>
    <w:rsid w:val="4B25C289"/>
    <w:rsid w:val="4B4A4AAB"/>
    <w:rsid w:val="4C36A7A5"/>
    <w:rsid w:val="4D470B2A"/>
    <w:rsid w:val="4DD0BD89"/>
    <w:rsid w:val="4E8AF97B"/>
    <w:rsid w:val="4E95152D"/>
    <w:rsid w:val="4EA70C5D"/>
    <w:rsid w:val="4EB769BD"/>
    <w:rsid w:val="4FF3BBB0"/>
    <w:rsid w:val="50246E0A"/>
    <w:rsid w:val="506FFAF9"/>
    <w:rsid w:val="51A2C32B"/>
    <w:rsid w:val="51E4B9AC"/>
    <w:rsid w:val="525B631D"/>
    <w:rsid w:val="52F58E32"/>
    <w:rsid w:val="5314CA0A"/>
    <w:rsid w:val="53CC0922"/>
    <w:rsid w:val="5471D058"/>
    <w:rsid w:val="5479527E"/>
    <w:rsid w:val="547997F7"/>
    <w:rsid w:val="555D0C0F"/>
    <w:rsid w:val="557F0681"/>
    <w:rsid w:val="569F0272"/>
    <w:rsid w:val="56C88E58"/>
    <w:rsid w:val="56D4C513"/>
    <w:rsid w:val="57651661"/>
    <w:rsid w:val="590511DF"/>
    <w:rsid w:val="5980674A"/>
    <w:rsid w:val="59DC2842"/>
    <w:rsid w:val="59E18517"/>
    <w:rsid w:val="5A3AE255"/>
    <w:rsid w:val="5A91DEED"/>
    <w:rsid w:val="5A9A57D2"/>
    <w:rsid w:val="5BF507FC"/>
    <w:rsid w:val="5C10FCB1"/>
    <w:rsid w:val="5C547FD7"/>
    <w:rsid w:val="5CA4E6C6"/>
    <w:rsid w:val="5CCA3843"/>
    <w:rsid w:val="5D24E533"/>
    <w:rsid w:val="5DF6188A"/>
    <w:rsid w:val="5E99C0B6"/>
    <w:rsid w:val="5EA053F6"/>
    <w:rsid w:val="5F3ED23A"/>
    <w:rsid w:val="5F46D70B"/>
    <w:rsid w:val="5FD5510D"/>
    <w:rsid w:val="5FDE34E8"/>
    <w:rsid w:val="5FF70900"/>
    <w:rsid w:val="60BC49D8"/>
    <w:rsid w:val="61043FBC"/>
    <w:rsid w:val="612BA24D"/>
    <w:rsid w:val="612DB94C"/>
    <w:rsid w:val="6244612C"/>
    <w:rsid w:val="6262AEE7"/>
    <w:rsid w:val="6320201A"/>
    <w:rsid w:val="6369E22B"/>
    <w:rsid w:val="6374A5C0"/>
    <w:rsid w:val="63813FF2"/>
    <w:rsid w:val="638F1415"/>
    <w:rsid w:val="63947D03"/>
    <w:rsid w:val="639CBD22"/>
    <w:rsid w:val="640813B9"/>
    <w:rsid w:val="643EAA62"/>
    <w:rsid w:val="644D100A"/>
    <w:rsid w:val="645E102D"/>
    <w:rsid w:val="649505EE"/>
    <w:rsid w:val="6557114D"/>
    <w:rsid w:val="656312BE"/>
    <w:rsid w:val="660D9C34"/>
    <w:rsid w:val="661117AF"/>
    <w:rsid w:val="67463192"/>
    <w:rsid w:val="67A8E92F"/>
    <w:rsid w:val="67C8F248"/>
    <w:rsid w:val="67E23EE4"/>
    <w:rsid w:val="6AB8F78F"/>
    <w:rsid w:val="6B00930A"/>
    <w:rsid w:val="6BBC19EB"/>
    <w:rsid w:val="6D6CB8DB"/>
    <w:rsid w:val="6D73FBDD"/>
    <w:rsid w:val="6EC2B6F4"/>
    <w:rsid w:val="6F461BE6"/>
    <w:rsid w:val="6FBC94A3"/>
    <w:rsid w:val="7052FD61"/>
    <w:rsid w:val="705E8755"/>
    <w:rsid w:val="70913532"/>
    <w:rsid w:val="7096505F"/>
    <w:rsid w:val="71126AB5"/>
    <w:rsid w:val="711A44F8"/>
    <w:rsid w:val="716D77DD"/>
    <w:rsid w:val="719AB501"/>
    <w:rsid w:val="71E187E8"/>
    <w:rsid w:val="727E4BFF"/>
    <w:rsid w:val="72C22F6E"/>
    <w:rsid w:val="7358283B"/>
    <w:rsid w:val="737100C5"/>
    <w:rsid w:val="74726CC1"/>
    <w:rsid w:val="7489ACD2"/>
    <w:rsid w:val="74966B1C"/>
    <w:rsid w:val="749DFDB3"/>
    <w:rsid w:val="74B63E6C"/>
    <w:rsid w:val="74EA184A"/>
    <w:rsid w:val="75F445DD"/>
    <w:rsid w:val="75F49DEC"/>
    <w:rsid w:val="760EA392"/>
    <w:rsid w:val="76302F9C"/>
    <w:rsid w:val="764EE79F"/>
    <w:rsid w:val="7773CD1A"/>
    <w:rsid w:val="77BF5C5D"/>
    <w:rsid w:val="7830C8D4"/>
    <w:rsid w:val="787C406A"/>
    <w:rsid w:val="7908CCCC"/>
    <w:rsid w:val="79188F04"/>
    <w:rsid w:val="79299805"/>
    <w:rsid w:val="79EA635F"/>
    <w:rsid w:val="7A17AD57"/>
    <w:rsid w:val="7A1B00BB"/>
    <w:rsid w:val="7A386A38"/>
    <w:rsid w:val="7AC9E20F"/>
    <w:rsid w:val="7B4D071B"/>
    <w:rsid w:val="7B5E324E"/>
    <w:rsid w:val="7B74CE0A"/>
    <w:rsid w:val="7C124DC9"/>
    <w:rsid w:val="7CFE2B61"/>
    <w:rsid w:val="7D0C3F44"/>
    <w:rsid w:val="7D112E60"/>
    <w:rsid w:val="7D346BCF"/>
    <w:rsid w:val="7D5BAB0A"/>
    <w:rsid w:val="7E1D13A6"/>
    <w:rsid w:val="7E795AAC"/>
    <w:rsid w:val="7F253CC5"/>
    <w:rsid w:val="7FFD00E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8BE349"/>
  <w15:docId w15:val="{0CC42A68-24CB-4CB2-817D-4FC65D1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fr-B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2D35"/>
    <w:pPr>
      <w:overflowPunct w:val="0"/>
      <w:autoSpaceDE w:val="0"/>
      <w:autoSpaceDN w:val="0"/>
      <w:adjustRightInd w:val="0"/>
      <w:spacing w:line="288" w:lineRule="auto"/>
      <w:jc w:val="both"/>
      <w:textAlignment w:val="baseline"/>
    </w:pPr>
    <w:rPr>
      <w:sz w:val="22"/>
      <w:lang w:eastAsia="en-US"/>
    </w:rPr>
  </w:style>
  <w:style w:type="paragraph" w:styleId="1">
    <w:name w:val="heading 1"/>
    <w:basedOn w:val="a"/>
    <w:next w:val="a"/>
    <w:link w:val="1Char"/>
    <w:uiPriority w:val="9"/>
    <w:qFormat/>
    <w:rsid w:val="0027246A"/>
    <w:pPr>
      <w:numPr>
        <w:numId w:val="2"/>
      </w:numPr>
      <w:outlineLvl w:val="0"/>
    </w:pPr>
    <w:rPr>
      <w:kern w:val="28"/>
    </w:rPr>
  </w:style>
  <w:style w:type="paragraph" w:styleId="2">
    <w:name w:val="heading 2"/>
    <w:basedOn w:val="a"/>
    <w:next w:val="a"/>
    <w:link w:val="2Char"/>
    <w:uiPriority w:val="9"/>
    <w:qFormat/>
    <w:rsid w:val="0027246A"/>
    <w:pPr>
      <w:numPr>
        <w:ilvl w:val="1"/>
        <w:numId w:val="2"/>
      </w:numPr>
      <w:outlineLvl w:val="1"/>
    </w:pPr>
  </w:style>
  <w:style w:type="paragraph" w:styleId="3">
    <w:name w:val="heading 3"/>
    <w:basedOn w:val="a"/>
    <w:next w:val="a"/>
    <w:link w:val="3Char"/>
    <w:uiPriority w:val="9"/>
    <w:qFormat/>
    <w:rsid w:val="0027246A"/>
    <w:pPr>
      <w:numPr>
        <w:ilvl w:val="2"/>
        <w:numId w:val="2"/>
      </w:numPr>
      <w:outlineLvl w:val="2"/>
    </w:pPr>
  </w:style>
  <w:style w:type="paragraph" w:styleId="4">
    <w:name w:val="heading 4"/>
    <w:basedOn w:val="a"/>
    <w:next w:val="a"/>
    <w:link w:val="4Char"/>
    <w:uiPriority w:val="9"/>
    <w:qFormat/>
    <w:rsid w:val="0027246A"/>
    <w:pPr>
      <w:numPr>
        <w:ilvl w:val="3"/>
        <w:numId w:val="2"/>
      </w:numPr>
      <w:outlineLvl w:val="3"/>
    </w:pPr>
  </w:style>
  <w:style w:type="paragraph" w:styleId="5">
    <w:name w:val="heading 5"/>
    <w:basedOn w:val="a"/>
    <w:next w:val="a"/>
    <w:link w:val="5Char"/>
    <w:uiPriority w:val="9"/>
    <w:qFormat/>
    <w:rsid w:val="0027246A"/>
    <w:pPr>
      <w:numPr>
        <w:ilvl w:val="4"/>
        <w:numId w:val="2"/>
      </w:numPr>
      <w:outlineLvl w:val="4"/>
    </w:pPr>
  </w:style>
  <w:style w:type="paragraph" w:styleId="6">
    <w:name w:val="heading 6"/>
    <w:basedOn w:val="a"/>
    <w:next w:val="a"/>
    <w:link w:val="6Char"/>
    <w:uiPriority w:val="9"/>
    <w:qFormat/>
    <w:rsid w:val="0027246A"/>
    <w:pPr>
      <w:numPr>
        <w:ilvl w:val="5"/>
        <w:numId w:val="2"/>
      </w:numPr>
      <w:outlineLvl w:val="5"/>
    </w:pPr>
  </w:style>
  <w:style w:type="paragraph" w:styleId="7">
    <w:name w:val="heading 7"/>
    <w:basedOn w:val="a"/>
    <w:next w:val="a"/>
    <w:link w:val="7Char"/>
    <w:uiPriority w:val="9"/>
    <w:qFormat/>
    <w:rsid w:val="0027246A"/>
    <w:pPr>
      <w:numPr>
        <w:ilvl w:val="6"/>
        <w:numId w:val="2"/>
      </w:numPr>
      <w:outlineLvl w:val="6"/>
    </w:pPr>
  </w:style>
  <w:style w:type="paragraph" w:styleId="8">
    <w:name w:val="heading 8"/>
    <w:basedOn w:val="a"/>
    <w:next w:val="a"/>
    <w:link w:val="8Char"/>
    <w:uiPriority w:val="9"/>
    <w:qFormat/>
    <w:rsid w:val="0027246A"/>
    <w:pPr>
      <w:numPr>
        <w:ilvl w:val="7"/>
        <w:numId w:val="2"/>
      </w:numPr>
      <w:outlineLvl w:val="7"/>
    </w:pPr>
  </w:style>
  <w:style w:type="paragraph" w:styleId="9">
    <w:name w:val="heading 9"/>
    <w:basedOn w:val="a"/>
    <w:next w:val="a"/>
    <w:link w:val="9Char"/>
    <w:uiPriority w:val="9"/>
    <w:qFormat/>
    <w:rsid w:val="0027246A"/>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D6585"/>
    <w:rPr>
      <w:rFonts w:asciiTheme="majorHAnsi" w:eastAsiaTheme="majorEastAsia" w:hAnsiTheme="majorHAnsi" w:cstheme="majorBidi"/>
      <w:b/>
      <w:bCs/>
      <w:color w:val="365F91" w:themeColor="accent1" w:themeShade="BF"/>
      <w:sz w:val="28"/>
      <w:szCs w:val="28"/>
      <w:lang w:val="el-GR" w:eastAsia="en-US"/>
    </w:rPr>
  </w:style>
  <w:style w:type="character" w:customStyle="1" w:styleId="2Char">
    <w:name w:val="Επικεφαλίδα 2 Char"/>
    <w:basedOn w:val="a0"/>
    <w:link w:val="2"/>
    <w:uiPriority w:val="9"/>
    <w:semiHidden/>
    <w:rsid w:val="00DD6585"/>
    <w:rPr>
      <w:rFonts w:asciiTheme="majorHAnsi" w:eastAsiaTheme="majorEastAsia" w:hAnsiTheme="majorHAnsi" w:cstheme="majorBidi"/>
      <w:b/>
      <w:bCs/>
      <w:color w:val="4F81BD" w:themeColor="accent1"/>
      <w:sz w:val="26"/>
      <w:szCs w:val="26"/>
      <w:lang w:val="el-GR" w:eastAsia="en-US"/>
    </w:rPr>
  </w:style>
  <w:style w:type="character" w:customStyle="1" w:styleId="3Char">
    <w:name w:val="Επικεφαλίδα 3 Char"/>
    <w:basedOn w:val="a0"/>
    <w:link w:val="3"/>
    <w:uiPriority w:val="9"/>
    <w:rsid w:val="00DD6585"/>
    <w:rPr>
      <w:rFonts w:asciiTheme="majorHAnsi" w:eastAsiaTheme="majorEastAsia" w:hAnsiTheme="majorHAnsi" w:cstheme="majorBidi"/>
      <w:b/>
      <w:bCs/>
      <w:color w:val="4F81BD" w:themeColor="accent1"/>
      <w:sz w:val="22"/>
      <w:lang w:val="el-GR" w:eastAsia="en-US"/>
    </w:rPr>
  </w:style>
  <w:style w:type="character" w:customStyle="1" w:styleId="4Char">
    <w:name w:val="Επικεφαλίδα 4 Char"/>
    <w:basedOn w:val="a0"/>
    <w:link w:val="4"/>
    <w:uiPriority w:val="9"/>
    <w:semiHidden/>
    <w:rsid w:val="00DD6585"/>
    <w:rPr>
      <w:rFonts w:asciiTheme="majorHAnsi" w:eastAsiaTheme="majorEastAsia" w:hAnsiTheme="majorHAnsi" w:cstheme="majorBidi"/>
      <w:b/>
      <w:bCs/>
      <w:i/>
      <w:iCs/>
      <w:color w:val="4F81BD" w:themeColor="accent1"/>
      <w:sz w:val="22"/>
      <w:lang w:val="el-GR" w:eastAsia="en-US"/>
    </w:rPr>
  </w:style>
  <w:style w:type="character" w:customStyle="1" w:styleId="5Char">
    <w:name w:val="Επικεφαλίδα 5 Char"/>
    <w:basedOn w:val="a0"/>
    <w:link w:val="5"/>
    <w:uiPriority w:val="9"/>
    <w:semiHidden/>
    <w:rsid w:val="00DD6585"/>
    <w:rPr>
      <w:rFonts w:asciiTheme="majorHAnsi" w:eastAsiaTheme="majorEastAsia" w:hAnsiTheme="majorHAnsi" w:cstheme="majorBidi"/>
      <w:color w:val="243F60" w:themeColor="accent1" w:themeShade="7F"/>
      <w:sz w:val="22"/>
      <w:lang w:val="el-GR" w:eastAsia="en-US"/>
    </w:rPr>
  </w:style>
  <w:style w:type="character" w:customStyle="1" w:styleId="6Char">
    <w:name w:val="Επικεφαλίδα 6 Char"/>
    <w:basedOn w:val="a0"/>
    <w:link w:val="6"/>
    <w:uiPriority w:val="9"/>
    <w:semiHidden/>
    <w:rsid w:val="00DD6585"/>
    <w:rPr>
      <w:rFonts w:asciiTheme="majorHAnsi" w:eastAsiaTheme="majorEastAsia" w:hAnsiTheme="majorHAnsi" w:cstheme="majorBidi"/>
      <w:i/>
      <w:iCs/>
      <w:color w:val="243F60" w:themeColor="accent1" w:themeShade="7F"/>
      <w:sz w:val="22"/>
      <w:lang w:val="el-GR" w:eastAsia="en-US"/>
    </w:rPr>
  </w:style>
  <w:style w:type="character" w:customStyle="1" w:styleId="7Char">
    <w:name w:val="Επικεφαλίδα 7 Char"/>
    <w:basedOn w:val="a0"/>
    <w:link w:val="7"/>
    <w:uiPriority w:val="9"/>
    <w:semiHidden/>
    <w:rsid w:val="00DD6585"/>
    <w:rPr>
      <w:rFonts w:asciiTheme="majorHAnsi" w:eastAsiaTheme="majorEastAsia" w:hAnsiTheme="majorHAnsi" w:cstheme="majorBidi"/>
      <w:i/>
      <w:iCs/>
      <w:color w:val="404040" w:themeColor="text1" w:themeTint="BF"/>
      <w:sz w:val="22"/>
      <w:lang w:val="el-GR" w:eastAsia="en-US"/>
    </w:rPr>
  </w:style>
  <w:style w:type="character" w:customStyle="1" w:styleId="8Char">
    <w:name w:val="Επικεφαλίδα 8 Char"/>
    <w:basedOn w:val="a0"/>
    <w:link w:val="8"/>
    <w:uiPriority w:val="9"/>
    <w:semiHidden/>
    <w:rsid w:val="00DD6585"/>
    <w:rPr>
      <w:rFonts w:asciiTheme="majorHAnsi" w:eastAsiaTheme="majorEastAsia" w:hAnsiTheme="majorHAnsi" w:cstheme="majorBidi"/>
      <w:color w:val="404040" w:themeColor="text1" w:themeTint="BF"/>
      <w:lang w:val="el-GR" w:eastAsia="en-US"/>
    </w:rPr>
  </w:style>
  <w:style w:type="character" w:customStyle="1" w:styleId="9Char">
    <w:name w:val="Επικεφαλίδα 9 Char"/>
    <w:basedOn w:val="a0"/>
    <w:link w:val="9"/>
    <w:uiPriority w:val="9"/>
    <w:semiHidden/>
    <w:rsid w:val="00DD6585"/>
    <w:rPr>
      <w:rFonts w:asciiTheme="majorHAnsi" w:eastAsiaTheme="majorEastAsia" w:hAnsiTheme="majorHAnsi" w:cstheme="majorBidi"/>
      <w:i/>
      <w:iCs/>
      <w:color w:val="404040" w:themeColor="text1" w:themeTint="BF"/>
      <w:lang w:val="el-GR" w:eastAsia="en-US"/>
    </w:rPr>
  </w:style>
  <w:style w:type="paragraph" w:styleId="a3">
    <w:name w:val="footer"/>
    <w:basedOn w:val="a"/>
    <w:link w:val="Char"/>
    <w:uiPriority w:val="99"/>
    <w:rsid w:val="0027246A"/>
  </w:style>
  <w:style w:type="character" w:customStyle="1" w:styleId="Char">
    <w:name w:val="Υποσέλιδο Char"/>
    <w:basedOn w:val="a0"/>
    <w:link w:val="a3"/>
    <w:uiPriority w:val="99"/>
    <w:rsid w:val="00DD6585"/>
    <w:rPr>
      <w:sz w:val="22"/>
      <w:lang w:val="el-GR" w:eastAsia="en-US"/>
    </w:rPr>
  </w:style>
  <w:style w:type="paragraph" w:styleId="a4">
    <w:name w:val="footnote text"/>
    <w:basedOn w:val="a"/>
    <w:link w:val="Char0"/>
    <w:uiPriority w:val="99"/>
    <w:rsid w:val="0027246A"/>
    <w:pPr>
      <w:keepLines/>
      <w:spacing w:after="60" w:line="240" w:lineRule="auto"/>
      <w:ind w:left="720" w:hanging="720"/>
    </w:pPr>
    <w:rPr>
      <w:sz w:val="16"/>
    </w:rPr>
  </w:style>
  <w:style w:type="character" w:customStyle="1" w:styleId="Char0">
    <w:name w:val="Κείμενο υποσημείωσης Char"/>
    <w:basedOn w:val="a0"/>
    <w:link w:val="a4"/>
    <w:uiPriority w:val="99"/>
    <w:semiHidden/>
    <w:rsid w:val="00DD6585"/>
    <w:rPr>
      <w:lang w:val="el-GR" w:eastAsia="en-US"/>
    </w:rPr>
  </w:style>
  <w:style w:type="paragraph" w:styleId="a5">
    <w:name w:val="header"/>
    <w:basedOn w:val="a"/>
    <w:link w:val="Char1"/>
    <w:uiPriority w:val="99"/>
    <w:rsid w:val="0027246A"/>
  </w:style>
  <w:style w:type="character" w:customStyle="1" w:styleId="Char1">
    <w:name w:val="Κεφαλίδα Char"/>
    <w:basedOn w:val="a0"/>
    <w:link w:val="a5"/>
    <w:uiPriority w:val="99"/>
    <w:rsid w:val="00DD6585"/>
    <w:rPr>
      <w:sz w:val="22"/>
      <w:lang w:val="el-GR" w:eastAsia="en-US"/>
    </w:rPr>
  </w:style>
  <w:style w:type="paragraph" w:customStyle="1" w:styleId="quotes">
    <w:name w:val="quotes"/>
    <w:basedOn w:val="a"/>
    <w:next w:val="a"/>
    <w:rsid w:val="0027246A"/>
    <w:pPr>
      <w:ind w:left="720"/>
    </w:pPr>
    <w:rPr>
      <w:i/>
    </w:rPr>
  </w:style>
  <w:style w:type="character" w:styleId="-">
    <w:name w:val="Hyperlink"/>
    <w:basedOn w:val="a0"/>
    <w:rPr>
      <w:color w:val="0000FF"/>
      <w:u w:val="single"/>
    </w:rPr>
  </w:style>
  <w:style w:type="character" w:styleId="a6">
    <w:name w:val="footnote reference"/>
    <w:basedOn w:val="a0"/>
    <w:qFormat/>
    <w:rsid w:val="0027246A"/>
    <w:rPr>
      <w:sz w:val="24"/>
      <w:vertAlign w:val="superscript"/>
    </w:rPr>
  </w:style>
  <w:style w:type="character" w:styleId="-0">
    <w:name w:val="FollowedHyperlink"/>
    <w:basedOn w:val="a0"/>
    <w:uiPriority w:val="99"/>
    <w:rPr>
      <w:color w:val="800080"/>
      <w:u w:val="single"/>
    </w:rPr>
  </w:style>
  <w:style w:type="paragraph" w:styleId="a7">
    <w:name w:val="Balloon Text"/>
    <w:basedOn w:val="a"/>
    <w:link w:val="Char2"/>
    <w:rsid w:val="009D304D"/>
    <w:pPr>
      <w:spacing w:line="240" w:lineRule="auto"/>
    </w:pPr>
    <w:rPr>
      <w:rFonts w:ascii="Tahoma" w:hAnsi="Tahoma" w:cs="Tahoma"/>
      <w:sz w:val="16"/>
      <w:szCs w:val="16"/>
    </w:rPr>
  </w:style>
  <w:style w:type="character" w:customStyle="1" w:styleId="Char2">
    <w:name w:val="Κείμενο πλαισίου Char"/>
    <w:basedOn w:val="a0"/>
    <w:link w:val="a7"/>
    <w:rsid w:val="009D304D"/>
    <w:rPr>
      <w:rFonts w:ascii="Tahoma" w:hAnsi="Tahoma" w:cs="Tahoma"/>
      <w:sz w:val="16"/>
      <w:szCs w:val="16"/>
      <w:lang w:val="el-GR" w:eastAsia="en-US"/>
    </w:rPr>
  </w:style>
  <w:style w:type="paragraph" w:customStyle="1" w:styleId="LOGO">
    <w:name w:val="LOGO"/>
    <w:basedOn w:val="a"/>
    <w:pPr>
      <w:jc w:val="center"/>
    </w:pPr>
    <w:rPr>
      <w:rFonts w:ascii="Arial" w:hAnsi="Arial"/>
      <w:b/>
      <w:i/>
      <w:sz w:val="20"/>
    </w:rPr>
  </w:style>
  <w:style w:type="paragraph" w:styleId="a8">
    <w:name w:val="List Paragraph"/>
    <w:basedOn w:val="a"/>
    <w:uiPriority w:val="34"/>
    <w:qFormat/>
    <w:rsid w:val="00415704"/>
    <w:pPr>
      <w:ind w:left="720"/>
      <w:contextualSpacing/>
    </w:pPr>
  </w:style>
  <w:style w:type="character" w:styleId="a9">
    <w:name w:val="annotation reference"/>
    <w:basedOn w:val="a0"/>
    <w:semiHidden/>
    <w:unhideWhenUsed/>
    <w:rsid w:val="00415704"/>
    <w:rPr>
      <w:sz w:val="16"/>
      <w:szCs w:val="16"/>
    </w:rPr>
  </w:style>
  <w:style w:type="paragraph" w:styleId="aa">
    <w:name w:val="annotation text"/>
    <w:basedOn w:val="a"/>
    <w:link w:val="Char3"/>
    <w:unhideWhenUsed/>
    <w:rsid w:val="00415704"/>
    <w:pPr>
      <w:spacing w:line="240" w:lineRule="auto"/>
    </w:pPr>
    <w:rPr>
      <w:sz w:val="20"/>
    </w:rPr>
  </w:style>
  <w:style w:type="character" w:customStyle="1" w:styleId="Char3">
    <w:name w:val="Κείμενο σχολίου Char"/>
    <w:basedOn w:val="a0"/>
    <w:link w:val="aa"/>
    <w:rsid w:val="00415704"/>
    <w:rPr>
      <w:lang w:val="el-GR" w:eastAsia="en-US"/>
    </w:rPr>
  </w:style>
  <w:style w:type="table" w:styleId="ab">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a0"/>
    <w:uiPriority w:val="99"/>
    <w:semiHidden/>
    <w:unhideWhenUsed/>
    <w:rsid w:val="005F7742"/>
    <w:rPr>
      <w:color w:val="605E5C"/>
      <w:shd w:val="clear" w:color="auto" w:fill="E1DFDD"/>
    </w:rPr>
  </w:style>
  <w:style w:type="paragraph" w:styleId="ac">
    <w:name w:val="Revision"/>
    <w:hidden/>
    <w:uiPriority w:val="99"/>
    <w:semiHidden/>
    <w:rsid w:val="00FB4298"/>
    <w:rPr>
      <w:sz w:val="22"/>
      <w:lang w:eastAsia="en-US"/>
    </w:rPr>
  </w:style>
  <w:style w:type="character" w:customStyle="1" w:styleId="UnresolvedMention2">
    <w:name w:val="Unresolved Mention2"/>
    <w:basedOn w:val="a0"/>
    <w:uiPriority w:val="99"/>
    <w:semiHidden/>
    <w:unhideWhenUsed/>
    <w:rsid w:val="00214B73"/>
    <w:rPr>
      <w:color w:val="605E5C"/>
      <w:shd w:val="clear" w:color="auto" w:fill="E1DFDD"/>
    </w:rPr>
  </w:style>
  <w:style w:type="character" w:customStyle="1" w:styleId="UnresolvedMention3">
    <w:name w:val="Unresolved Mention3"/>
    <w:basedOn w:val="a0"/>
    <w:uiPriority w:val="99"/>
    <w:semiHidden/>
    <w:unhideWhenUsed/>
    <w:rsid w:val="008C6E6E"/>
    <w:rPr>
      <w:color w:val="605E5C"/>
      <w:shd w:val="clear" w:color="auto" w:fill="E1DFDD"/>
    </w:rPr>
  </w:style>
  <w:style w:type="character" w:customStyle="1" w:styleId="UnresolvedMention4">
    <w:name w:val="Unresolved Mention4"/>
    <w:basedOn w:val="a0"/>
    <w:uiPriority w:val="99"/>
    <w:semiHidden/>
    <w:unhideWhenUsed/>
    <w:rsid w:val="00186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930374">
      <w:bodyDiv w:val="1"/>
      <w:marLeft w:val="0"/>
      <w:marRight w:val="0"/>
      <w:marTop w:val="0"/>
      <w:marBottom w:val="0"/>
      <w:divBdr>
        <w:top w:val="none" w:sz="0" w:space="0" w:color="auto"/>
        <w:left w:val="none" w:sz="0" w:space="0" w:color="auto"/>
        <w:bottom w:val="none" w:sz="0" w:space="0" w:color="auto"/>
        <w:right w:val="none" w:sz="0" w:space="0" w:color="auto"/>
      </w:divBdr>
    </w:div>
    <w:div w:id="496768465">
      <w:bodyDiv w:val="1"/>
      <w:marLeft w:val="0"/>
      <w:marRight w:val="0"/>
      <w:marTop w:val="0"/>
      <w:marBottom w:val="0"/>
      <w:divBdr>
        <w:top w:val="none" w:sz="0" w:space="0" w:color="auto"/>
        <w:left w:val="none" w:sz="0" w:space="0" w:color="auto"/>
        <w:bottom w:val="none" w:sz="0" w:space="0" w:color="auto"/>
        <w:right w:val="none" w:sz="0" w:space="0" w:color="auto"/>
      </w:divBdr>
    </w:div>
    <w:div w:id="519976564">
      <w:bodyDiv w:val="1"/>
      <w:marLeft w:val="0"/>
      <w:marRight w:val="0"/>
      <w:marTop w:val="0"/>
      <w:marBottom w:val="0"/>
      <w:divBdr>
        <w:top w:val="none" w:sz="0" w:space="0" w:color="auto"/>
        <w:left w:val="none" w:sz="0" w:space="0" w:color="auto"/>
        <w:bottom w:val="none" w:sz="0" w:space="0" w:color="auto"/>
        <w:right w:val="none" w:sz="0" w:space="0" w:color="auto"/>
      </w:divBdr>
    </w:div>
    <w:div w:id="864950028">
      <w:bodyDiv w:val="1"/>
      <w:marLeft w:val="0"/>
      <w:marRight w:val="0"/>
      <w:marTop w:val="0"/>
      <w:marBottom w:val="0"/>
      <w:divBdr>
        <w:top w:val="none" w:sz="0" w:space="0" w:color="auto"/>
        <w:left w:val="none" w:sz="0" w:space="0" w:color="auto"/>
        <w:bottom w:val="none" w:sz="0" w:space="0" w:color="auto"/>
        <w:right w:val="none" w:sz="0" w:space="0" w:color="auto"/>
      </w:divBdr>
    </w:div>
    <w:div w:id="1301955469">
      <w:bodyDiv w:val="1"/>
      <w:marLeft w:val="0"/>
      <w:marRight w:val="0"/>
      <w:marTop w:val="0"/>
      <w:marBottom w:val="0"/>
      <w:divBdr>
        <w:top w:val="none" w:sz="0" w:space="0" w:color="auto"/>
        <w:left w:val="none" w:sz="0" w:space="0" w:color="auto"/>
        <w:bottom w:val="none" w:sz="0" w:space="0" w:color="auto"/>
        <w:right w:val="none" w:sz="0" w:space="0" w:color="auto"/>
      </w:divBdr>
    </w:div>
    <w:div w:id="1977636427">
      <w:bodyDiv w:val="1"/>
      <w:marLeft w:val="0"/>
      <w:marRight w:val="0"/>
      <w:marTop w:val="0"/>
      <w:marBottom w:val="0"/>
      <w:divBdr>
        <w:top w:val="none" w:sz="0" w:space="0" w:color="auto"/>
        <w:left w:val="none" w:sz="0" w:space="0" w:color="auto"/>
        <w:bottom w:val="none" w:sz="0" w:space="0" w:color="auto"/>
        <w:right w:val="none" w:sz="0" w:space="0" w:color="auto"/>
      </w:divBdr>
    </w:div>
    <w:div w:id="20043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zenodo.org/records/8383411" TargetMode="External"/><Relationship Id="rId7" Type="http://schemas.openxmlformats.org/officeDocument/2006/relationships/hyperlink" Target="https://eur-lex.europa.eu/legal-content/EN/TXT/?uri=CELEX%3A52024SC0079&amp;qid=1733390460931" TargetMode="External"/><Relationship Id="rId2" Type="http://schemas.openxmlformats.org/officeDocument/2006/relationships/hyperlink" Target="https://www.researchgate.net/publication/375888082_Opportunities_and_challenges_for_remote_rural_areas_in_the_European_Union" TargetMode="External"/><Relationship Id="rId1" Type="http://schemas.openxmlformats.org/officeDocument/2006/relationships/hyperlink" Target="https://new-european-bauhaus.europa.eu/document/download/6d54623a-09c1-4a60-a8f5-7c292f679f69_el?filename=COM_2021_573_EL_ACT.PDF" TargetMode="External"/><Relationship Id="rId6" Type="http://schemas.openxmlformats.org/officeDocument/2006/relationships/hyperlink" Target="https://op.europa.eu/el/publication-detail/-/publication/959487c4-38e5-11ef-b441-01aa75ed71a1/language-en" TargetMode="External"/><Relationship Id="rId5" Type="http://schemas.openxmlformats.org/officeDocument/2006/relationships/hyperlink" Target="https://agriculture.ec.europa.eu/common-agricultural-policy/cap-overview/cmef/rural-areas/evaluation-impact-leader-balanced-territorial-development_en?prefLang=el" TargetMode="External"/><Relationship Id="rId4" Type="http://schemas.openxmlformats.org/officeDocument/2006/relationships/hyperlink" Target="https://zenodo.org/records/8383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92AC2282A393A5478157AC7097A32400" ma:contentTypeVersion="4" ma:contentTypeDescription="Defines the documents for Document Manager V2" ma:contentTypeScope="" ma:versionID="bba5049c775a4ea4da338945a76b33b5">
  <xsd:schema xmlns:xsd="http://www.w3.org/2001/XMLSchema" xmlns:xs="http://www.w3.org/2001/XMLSchema" xmlns:p="http://schemas.microsoft.com/office/2006/metadata/properties" xmlns:ns2="a2d46f94-43c6-4a12-989f-74dddb81bcce" xmlns:ns3="http://schemas.microsoft.com/sharepoint/v3/fields" xmlns:ns4="8be5a898-68bf-4ca8-919a-2cfa01d30431" targetNamespace="http://schemas.microsoft.com/office/2006/metadata/properties" ma:root="true" ma:fieldsID="ce3cfb6189d2f2333ce7bd77f4a45aec" ns2:_="" ns3:_="" ns4:_="">
    <xsd:import namespace="a2d46f94-43c6-4a12-989f-74dddb81bcce"/>
    <xsd:import namespace="http://schemas.microsoft.com/sharepoint/v3/fields"/>
    <xsd:import namespace="8be5a898-68bf-4ca8-919a-2cfa01d30431"/>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46f94-43c6-4a12-989f-74dddb81bc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ff9964be-ef63-475c-9d52-2f2c8f95332d}" ma:internalName="TaxCatchAll" ma:showField="CatchAllData" ma:web="a2d46f94-43c6-4a12-989f-74dddb81bcc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f9964be-ef63-475c-9d52-2f2c8f95332d}" ma:internalName="TaxCatchAllLabel" ma:readOnly="true" ma:showField="CatchAllDataLabel" ma:web="a2d46f94-43c6-4a12-989f-74dddb81bcce">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e5a898-68bf-4ca8-919a-2cfa01d30431"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2d46f94-43c6-4a12-989f-74dddb81bcce">VTJTVCCZRNCJ-1180657969-4763</_dlc_DocId>
    <_dlc_DocIdUrl xmlns="a2d46f94-43c6-4a12-989f-74dddb81bcce">
      <Url>http://dm/cor/2024/_layouts/15/DocIdRedir.aspx?ID=VTJTVCCZRNCJ-1180657969-4763</Url>
      <Description>VTJTVCCZRNCJ-1180657969-4763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PAC</TermName>
          <TermId xmlns="http://schemas.microsoft.com/office/infopath/2007/PartnerControls">719e5324-e7b4-48f6-9bbb-a2f1f3496a94</TermId>
        </TermInfo>
      </Terms>
    </DocumentType_0>
    <Procedure xmlns="a2d46f94-43c6-4a12-989f-74dddb81bcce"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2d46f94-43c6-4a12-989f-74dddb81bcce">2024-12-12T12:00:00+00:00</ProductionDate>
    <DocumentNumber xmlns="8be5a898-68bf-4ca8-919a-2cfa01d30431">2569</DocumentNumber>
    <FicheYear xmlns="a2d46f94-43c6-4a12-989f-74dddb81bcce" xsi:nil="true"/>
    <DossierNumber xmlns="a2d46f94-43c6-4a12-989f-74dddb81bcce">44</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2d46f94-43c6-4a12-989f-74dddb81bcce">2025-02-19T12:00:00+00:00</MeetingDate>
    <TaxCatchAll xmlns="a2d46f94-43c6-4a12-989f-74dddb81bcce">
      <Value>85</Value>
      <Value>65</Value>
      <Value>57</Value>
      <Value>41</Value>
      <Value>40</Value>
      <Value>39</Value>
      <Value>38</Value>
      <Value>36</Value>
      <Value>35</Value>
      <Value>34</Value>
      <Value>33</Value>
      <Value>32</Value>
      <Value>31</Value>
      <Value>30</Value>
      <Value>29</Value>
      <Value>28</Value>
      <Value>27</Value>
      <Value>26</Value>
      <Value>25</Value>
      <Value>24</Value>
      <Value>23</Value>
      <Value>22</Value>
      <Value>21</Value>
      <Value>108</Value>
      <Value>14</Value>
      <Value>12</Value>
      <Value>10</Value>
      <Value>7</Value>
      <Value>6</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Rapporteur xmlns="a2d46f94-43c6-4a12-989f-74dddb81bcce">GUIGNARD</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a2d46f94-43c6-4a12-989f-74dddb81bcce">2024</DocumentYear>
    <FicheNumber xmlns="a2d46f94-43c6-4a12-989f-74dddb81bcce">12190</FicheNumber>
    <OriginalSender xmlns="a2d46f94-43c6-4a12-989f-74dddb81bcce">
      <UserInfo>
        <DisplayName>Poulou Nikoletta</DisplayName>
        <AccountId>2084</AccountId>
        <AccountType/>
      </UserInfo>
    </OriginalSender>
    <DocumentPart xmlns="a2d46f94-43c6-4a12-989f-74dddb81bcce">0</DocumentPart>
    <AdoptionDate xmlns="a2d46f94-43c6-4a12-989f-74dddb81bcce" xsi:nil="true"/>
    <RequestingService xmlns="a2d46f94-43c6-4a12-989f-74dddb81bcce">Commission NAT</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MeetingNumber xmlns="8be5a898-68bf-4ca8-919a-2cfa01d30431">164</MeetingNumber>
    <DossierName_0 xmlns="http://schemas.microsoft.com/sharepoint/v3/fields">
      <Terms xmlns="http://schemas.microsoft.com/office/infopath/2007/PartnerControls">
        <TermInfo xmlns="http://schemas.microsoft.com/office/infopath/2007/PartnerControls">
          <TermName xmlns="http://schemas.microsoft.com/office/infopath/2007/PartnerControls">NAT-VII</TermName>
          <TermId xmlns="http://schemas.microsoft.com/office/infopath/2007/PartnerControls">c430e6b7-a42c-4284-b371-0f36990d71ff</TermId>
        </TermInfo>
      </Terms>
    </DossierName_0>
    <DocumentVersion xmlns="a2d46f94-43c6-4a12-989f-74dddb81bcce">1</DocumentVersion>
  </documentManagement>
</p:properties>
</file>

<file path=customXml/itemProps1.xml><?xml version="1.0" encoding="utf-8"?>
<ds:datastoreItem xmlns:ds="http://schemas.openxmlformats.org/officeDocument/2006/customXml" ds:itemID="{1853B78D-37DA-46DD-9027-25409574D095}">
  <ds:schemaRefs>
    <ds:schemaRef ds:uri="http://schemas.microsoft.com/sharepoint/events"/>
  </ds:schemaRefs>
</ds:datastoreItem>
</file>

<file path=customXml/itemProps2.xml><?xml version="1.0" encoding="utf-8"?>
<ds:datastoreItem xmlns:ds="http://schemas.openxmlformats.org/officeDocument/2006/customXml" ds:itemID="{ADD3FB3E-5C31-4C2E-AB44-D269FBCB2460}">
  <ds:schemaRefs>
    <ds:schemaRef ds:uri="http://schemas.microsoft.com/sharepoint/v3/contenttype/forms"/>
  </ds:schemaRefs>
</ds:datastoreItem>
</file>

<file path=customXml/itemProps3.xml><?xml version="1.0" encoding="utf-8"?>
<ds:datastoreItem xmlns:ds="http://schemas.openxmlformats.org/officeDocument/2006/customXml" ds:itemID="{B97DA2A2-31C8-45D6-86DA-4B4C98C7E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46f94-43c6-4a12-989f-74dddb81bcce"/>
    <ds:schemaRef ds:uri="http://schemas.microsoft.com/sharepoint/v3/fields"/>
    <ds:schemaRef ds:uri="8be5a898-68bf-4ca8-919a-2cfa01d30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FFA36-3F73-4015-A226-504F7B776D25}">
  <ds:schemaRefs>
    <ds:schemaRef ds:uri="http://schemas.microsoft.com/office/2006/metadata/properties"/>
    <ds:schemaRef ds:uri="http://schemas.microsoft.com/office/infopath/2007/PartnerControls"/>
    <ds:schemaRef ds:uri="a2d46f94-43c6-4a12-989f-74dddb81bcce"/>
    <ds:schemaRef ds:uri="http://schemas.microsoft.com/sharepoint/v3/fields"/>
    <ds:schemaRef ds:uri="8be5a898-68bf-4ca8-919a-2cfa01d3043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3059</Words>
  <Characters>16519</Characters>
  <Application>Microsoft Office Word</Application>
  <DocSecurity>0</DocSecurity>
  <Lines>137</Lines>
  <Paragraphs>39</Paragraphs>
  <ScaleCrop>false</ScaleCrop>
  <HeadingPairs>
    <vt:vector size="6" baseType="variant">
      <vt:variant>
        <vt:lpstr>Τίτλος</vt:lpstr>
      </vt:variant>
      <vt:variant>
        <vt:i4>1</vt:i4>
      </vt:variant>
      <vt:variant>
        <vt:lpstr>Title</vt:lpstr>
      </vt:variant>
      <vt:variant>
        <vt:i4>1</vt:i4>
      </vt:variant>
      <vt:variant>
        <vt:lpstr>Titre</vt:lpstr>
      </vt:variant>
      <vt:variant>
        <vt:i4>1</vt:i4>
      </vt:variant>
    </vt:vector>
  </HeadingPairs>
  <TitlesOfParts>
    <vt:vector size="3" baseType="lpstr">
      <vt:lpstr>Πώς ο προγραμματισμός της LEADER και της ΤΑΠΤΚ μετά το 2027 μπορεί να συμβάλει στην καλύτερη υλοποίηση του μακροπρόθεσμου οράματος για τις αγροτικές περιοχές της ΕΕ;</vt:lpstr>
      <vt:lpstr>Comment une programmation intégrant les approches Leader et de développement local participatif pour laprès-2027 pourrait contribuer à une meilleure</vt:lpstr>
      <vt:lpstr>Préparation aux crises et gestion des crises: renforcer la résilience de lUnion, de ses régions et de ses villes</vt:lpstr>
    </vt:vector>
  </TitlesOfParts>
  <Company>CESE-CdR</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Πώς ο προγραμματισμός της LEADER και της ΤΑΠΤΚ μετά το 2027 μπορεί να συμβάλει στην καλύτερη υλοποίηση του μακροπρόθεσμου οράματος για τις αγροτικές περιοχές της ΕΕ;</dc:title>
  <dc:subject>PAC</dc:subject>
  <dc:creator>Emma Nieddu</dc:creator>
  <cp:keywords>COR-2024-02569-00-01-PAC-TRA-FR</cp:keywords>
  <dc:description>Rapporteur: GUIGNARD - Original language: FR - Date of document: 12/12/2024 - Date of meeting: 00/19/2025 14:00 - External documents:  - Administrator: MME MORAUT PESTANES Hélène</dc:description>
  <cp:lastModifiedBy>user</cp:lastModifiedBy>
  <cp:revision>4</cp:revision>
  <cp:lastPrinted>2007-01-10T09:34:00Z</cp:lastPrinted>
  <dcterms:created xsi:type="dcterms:W3CDTF">2025-02-19T11:11:00Z</dcterms:created>
  <dcterms:modified xsi:type="dcterms:W3CDTF">2025-02-19T11:27:00Z</dcterms:modified>
  <cp:category>NAT-VII/044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11/12/2024, 25/10/2024, 27/02/2023, 06/01/2022, 06/01/2022, 06/01/2022</vt:lpwstr>
  </property>
  <property fmtid="{D5CDD505-2E9C-101B-9397-08002B2CF9AE}" pid="4" name="Pref_Time">
    <vt:lpwstr>10:56:10, 13:11:16, 14:25:21, 12:15:42, 12:09:02, 12:06:43</vt:lpwstr>
  </property>
  <property fmtid="{D5CDD505-2E9C-101B-9397-08002B2CF9AE}" pid="5" name="Pref_User">
    <vt:lpwstr>jhvi, pacup, enied, jhvi, jhvi, jhvi</vt:lpwstr>
  </property>
  <property fmtid="{D5CDD505-2E9C-101B-9397-08002B2CF9AE}" pid="6" name="Pref_FileName">
    <vt:lpwstr>COR-2024-02569-00-01-PAC-TRA-FR-CRR.docx, COR-2024-02569-00-00-PA-TRA-FR-CRR.docx, COR-2022-05928-00-00-PA-TRA-FR-CRR.docx, COR-2021-04928-00-00-PA-ORI.docx, COR-2021-04928-00-00-PA-TRA-CRR-FR.docx, COR-2021-04928-00-00-PA-CRR-FR.docx</vt:lpwstr>
  </property>
  <property fmtid="{D5CDD505-2E9C-101B-9397-08002B2CF9AE}" pid="7" name="ContentTypeId">
    <vt:lpwstr>0x010100EA97B91038054C99906057A708A1480A0092AC2282A393A5478157AC7097A32400</vt:lpwstr>
  </property>
  <property fmtid="{D5CDD505-2E9C-101B-9397-08002B2CF9AE}" pid="8" name="_dlc_DocIdItemGuid">
    <vt:lpwstr>224eb5e2-694c-411f-8236-79258bfb5175</vt:lpwstr>
  </property>
  <property fmtid="{D5CDD505-2E9C-101B-9397-08002B2CF9AE}" pid="9" name="AvailableTranslations">
    <vt:lpwstr>40;#RO|feb747a2-64cd-4299-af12-4833ddc30497;#25;#PL|1e03da61-4678-4e07-b136-b5024ca9197b;#28;#IT|0774613c-01ed-4e5d-a25d-11d2388de825;#30;#BG|1a1b3951-7821-4e6a-85f5-5673fc08bd2c;#14;#DE|f6b31e5a-26fa-4935-b661-318e46daf27e;#26;#SV|c2ed69e7-a339-43d7-8f22</vt:lpwstr>
  </property>
  <property fmtid="{D5CDD505-2E9C-101B-9397-08002B2CF9AE}" pid="10" name="DocumentType_0">
    <vt:lpwstr>PAC|719e5324-e7b4-48f6-9bbb-a2f1f3496a94</vt:lpwstr>
  </property>
  <property fmtid="{D5CDD505-2E9C-101B-9397-08002B2CF9AE}" pid="11" name="MeetingNumber">
    <vt:i4>164</vt:i4>
  </property>
  <property fmtid="{D5CDD505-2E9C-101B-9397-08002B2CF9AE}" pid="12" name="DossierName_0">
    <vt:lpwstr>NAT-VII|c430e6b7-a42c-4284-b371-0f36990d71ff</vt:lpwstr>
  </property>
  <property fmtid="{D5CDD505-2E9C-101B-9397-08002B2CF9AE}" pid="13" name="DocumentSource_0">
    <vt:lpwstr>CoR|cb2d75ef-4a7d-4393-b797-49ed6298a5ea</vt:lpwstr>
  </property>
  <property fmtid="{D5CDD505-2E9C-101B-9397-08002B2CF9AE}" pid="14" name="DocumentNumber">
    <vt:i4>2569</vt:i4>
  </property>
  <property fmtid="{D5CDD505-2E9C-101B-9397-08002B2CF9AE}" pid="15" name="DocumentVersion">
    <vt:i4>1</vt:i4>
  </property>
  <property fmtid="{D5CDD505-2E9C-101B-9397-08002B2CF9AE}" pid="16" name="DossierNumber">
    <vt:i4>44</vt:i4>
  </property>
  <property fmtid="{D5CDD505-2E9C-101B-9397-08002B2CF9AE}" pid="17" name="DocumentStatus">
    <vt:lpwstr>7;#TRA|150d2a88-1431-44e6-a8ca-0bb753ab8672</vt:lpwstr>
  </property>
  <property fmtid="{D5CDD505-2E9C-101B-9397-08002B2CF9AE}" pid="18" name="DossierName">
    <vt:lpwstr>108;#NAT-VII|c430e6b7-a42c-4284-b371-0f36990d71ff</vt:lpwstr>
  </property>
  <property fmtid="{D5CDD505-2E9C-101B-9397-08002B2CF9AE}" pid="19" name="RequestingService">
    <vt:lpwstr>Commission NAT</vt:lpwstr>
  </property>
  <property fmtid="{D5CDD505-2E9C-101B-9397-08002B2CF9AE}" pid="20" name="Confidentiality">
    <vt:lpwstr>21;#Unrestricted|826e22d7-d029-4ec0-a450-0c28ff673572</vt:lpwstr>
  </property>
  <property fmtid="{D5CDD505-2E9C-101B-9397-08002B2CF9AE}" pid="21" name="MeetingName_0">
    <vt:lpwstr>SPL-CDR|8f822234-72c1-4721-9e21-9e3c2bc35462</vt:lpwstr>
  </property>
  <property fmtid="{D5CDD505-2E9C-101B-9397-08002B2CF9AE}" pid="22" name="Confidentiality_0">
    <vt:lpwstr>Unrestricted|826e22d7-d029-4ec0-a450-0c28ff673572</vt:lpwstr>
  </property>
  <property fmtid="{D5CDD505-2E9C-101B-9397-08002B2CF9AE}" pid="23" name="OriginalLanguage">
    <vt:lpwstr>10;#FR|d2afafd3-4c81-4f60-8f52-ee33f2f54ff3</vt:lpwstr>
  </property>
  <property fmtid="{D5CDD505-2E9C-101B-9397-08002B2CF9AE}" pid="24" name="MeetingName">
    <vt:lpwstr>65;#SPL-CDR|8f822234-72c1-4721-9e21-9e3c2bc35462</vt:lpwstr>
  </property>
  <property fmtid="{D5CDD505-2E9C-101B-9397-08002B2CF9AE}" pid="25" name="MeetingDate">
    <vt:filetime>2025-02-19T12:00:00Z</vt:filetime>
  </property>
  <property fmtid="{D5CDD505-2E9C-101B-9397-08002B2CF9AE}" pid="26" name="AvailableTranslations_0">
    <vt:lpwstr>IT|0774613c-01ed-4e5d-a25d-11d2388de825;SV|c2ed69e7-a339-43d7-8f22-d93680a92aa0;FR|d2afafd3-4c81-4f60-8f52-ee33f2f54ff3;SK|46d9fce0-ef79-4f71-b89b-cd6aa82426b8;CS|72f9705b-0217-4fd3-bea2-cbc7ed80e26e;EN|f2175f21-25d7-44a3-96da-d6a61b075e1b;LT|a7ff5ce7-612</vt:lpwstr>
  </property>
  <property fmtid="{D5CDD505-2E9C-101B-9397-08002B2CF9AE}" pid="27" name="DocumentStatus_0">
    <vt:lpwstr>TRA|150d2a88-1431-44e6-a8ca-0bb753ab8672</vt:lpwstr>
  </property>
  <property fmtid="{D5CDD505-2E9C-101B-9397-08002B2CF9AE}" pid="28" name="OriginalLanguage_0">
    <vt:lpwstr>FR|d2afafd3-4c81-4f60-8f52-ee33f2f54ff3</vt:lpwstr>
  </property>
  <property fmtid="{D5CDD505-2E9C-101B-9397-08002B2CF9AE}" pid="29" name="TaxCatchAll">
    <vt:lpwstr>35;#HR|2f555653-ed1a-4fe6-8362-9082d95989e5;#108;#NAT-VII|c430e6b7-a42c-4284-b371-0f36990d71ff;#32;#SK|46d9fce0-ef79-4f71-b89b-cd6aa82426b8;#29;#PT|50ccc04a-eadd-42ae-a0cb-acaf45f812ba;#28;#IT|0774613c-01ed-4e5d-a25d-11d2388de825;#26;#SV|c2ed69e7-a339-43d</vt:lpwstr>
  </property>
  <property fmtid="{D5CDD505-2E9C-101B-9397-08002B2CF9AE}" pid="30" name="Rapporteur">
    <vt:lpwstr>GUIGNARD</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2024</vt:i4>
  </property>
  <property fmtid="{D5CDD505-2E9C-101B-9397-08002B2CF9AE}" pid="34" name="FicheNumber">
    <vt:i4>12190</vt:i4>
  </property>
  <property fmtid="{D5CDD505-2E9C-101B-9397-08002B2CF9AE}" pid="35" name="DocumentPart">
    <vt:i4>0</vt:i4>
  </property>
  <property fmtid="{D5CDD505-2E9C-101B-9397-08002B2CF9AE}" pid="36" name="DocumentSource">
    <vt:lpwstr>1;#CoR|cb2d75ef-4a7d-4393-b797-49ed6298a5ea</vt:lpwstr>
  </property>
  <property fmtid="{D5CDD505-2E9C-101B-9397-08002B2CF9AE}" pid="37" name="DocumentType">
    <vt:lpwstr>85;#PAC|719e5324-e7b4-48f6-9bbb-a2f1f3496a94</vt:lpwstr>
  </property>
  <property fmtid="{D5CDD505-2E9C-101B-9397-08002B2CF9AE}" pid="38" name="DocumentLanguage">
    <vt:lpwstr>22;#EL|6d4f4d51-af9b-4650-94b4-4276bee85c91</vt:lpwstr>
  </property>
</Properties>
</file>